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jc w:val="center"/>
      </w:pPr>
      <w:r>
        <w:t>Ohio Hospital Project Cost Tracking Report</w:t>
      </w:r>
    </w:p>
    <w:p>
      <w:pPr>
        <w:jc w:val="center"/>
      </w:pPr>
      <w:r>
        <w:t>Report Date: October 25, 2025</w:t>
      </w:r>
    </w:p>
    <w:p>
      <w:pPr>
        <w:pStyle w:val="Heading1"/>
      </w:pPr>
      <w:r>
        <w:t>1. Project Summary</w:t>
      </w:r>
    </w:p>
    <w:tbl>
      <w:tblPr>
        <w:tblStyle w:val="TableGrid"/>
        <w:tblW w:type="auto" w:w="0"/>
        <w:tblLayout w:type="fixed"/>
        <w:tblLook w:firstColumn="1" w:firstRow="1" w:lastColumn="0" w:lastRow="0" w:noHBand="0" w:noVBand="1" w:val="04A0"/>
      </w:tblPr>
      <w:tblGrid>
        <w:gridCol w:w="960"/>
        <w:gridCol w:w="960"/>
        <w:gridCol w:w="960"/>
        <w:gridCol w:w="960"/>
        <w:gridCol w:w="960"/>
        <w:gridCol w:w="960"/>
        <w:gridCol w:w="960"/>
        <w:gridCol w:w="960"/>
        <w:gridCol w:w="960"/>
      </w:tblGrid>
      <w:tr>
        <w:tc>
          <w:tcPr>
            <w:tcW w:type="dxa" w:w="960"/>
          </w:tcPr>
          <w:p>
            <w:pPr>
              <w:jc w:val="left"/>
            </w:pPr>
            <w:r>
              <w:rPr>
                <w:rFonts w:ascii="Calibri" w:hAnsi="Calibri"/>
                <w:b/>
                <w:sz w:val="18"/>
              </w:rPr>
              <w:t>Task ID</w:t>
            </w:r>
          </w:p>
        </w:tc>
        <w:tc>
          <w:tcPr>
            <w:tcW w:type="dxa" w:w="960"/>
          </w:tcPr>
          <w:p>
            <w:pPr>
              <w:jc w:val="center"/>
            </w:pPr>
            <w:r>
              <w:rPr>
                <w:rFonts w:ascii="Calibri" w:hAnsi="Calibri"/>
                <w:sz w:val="18"/>
              </w:rPr>
              <w:t>100</w:t>
            </w:r>
          </w:p>
        </w:tc>
        <w:tc>
          <w:tcPr>
            <w:tcW w:type="dxa" w:w="960"/>
          </w:tcPr>
          <w:p>
            <w:pPr>
              <w:jc w:val="center"/>
            </w:pPr>
            <w:r>
              <w:rPr>
                <w:rFonts w:ascii="Calibri" w:hAnsi="Calibri"/>
                <w:sz w:val="18"/>
              </w:rPr>
              <w:t>200</w:t>
            </w:r>
          </w:p>
        </w:tc>
        <w:tc>
          <w:tcPr>
            <w:tcW w:type="dxa" w:w="960"/>
          </w:tcPr>
          <w:p>
            <w:pPr>
              <w:jc w:val="center"/>
            </w:pPr>
            <w:r>
              <w:rPr>
                <w:rFonts w:ascii="Calibri" w:hAnsi="Calibri"/>
                <w:sz w:val="18"/>
              </w:rPr>
              <w:t>300</w:t>
            </w:r>
          </w:p>
        </w:tc>
        <w:tc>
          <w:tcPr>
            <w:tcW w:type="dxa" w:w="960"/>
          </w:tcPr>
          <w:p>
            <w:pPr>
              <w:jc w:val="center"/>
            </w:pPr>
            <w:r>
              <w:rPr>
                <w:rFonts w:ascii="Calibri" w:hAnsi="Calibri"/>
                <w:b/>
                <w:sz w:val="18"/>
              </w:rPr>
              <w:t>400</w:t>
            </w:r>
          </w:p>
        </w:tc>
        <w:tc>
          <w:tcPr>
            <w:tcW w:type="dxa" w:w="960"/>
          </w:tcPr>
          <w:p>
            <w:pPr>
              <w:jc w:val="center"/>
            </w:pPr>
            <w:r>
              <w:rPr>
                <w:rFonts w:ascii="Calibri" w:hAnsi="Calibri"/>
                <w:sz w:val="18"/>
              </w:rPr>
              <w:t>500</w:t>
            </w:r>
          </w:p>
        </w:tc>
        <w:tc>
          <w:tcPr>
            <w:tcW w:type="dxa" w:w="960"/>
          </w:tcPr>
          <w:p>
            <w:pPr>
              <w:jc w:val="center"/>
            </w:pPr>
            <w:r>
              <w:rPr>
                <w:rFonts w:ascii="Calibri" w:hAnsi="Calibri"/>
                <w:sz w:val="18"/>
              </w:rPr>
              <w:t>600</w:t>
            </w:r>
          </w:p>
        </w:tc>
        <w:tc>
          <w:tcPr>
            <w:tcW w:type="dxa" w:w="960"/>
          </w:tcPr>
          <w:p>
            <w:pPr>
              <w:jc w:val="center"/>
            </w:pPr>
            <w:r>
              <w:rPr>
                <w:rFonts w:ascii="Calibri" w:hAnsi="Calibri"/>
                <w:sz w:val="18"/>
              </w:rPr>
              <w:t>700</w:t>
            </w:r>
          </w:p>
        </w:tc>
        <w:tc>
          <w:tcPr>
            <w:tcW w:type="dxa" w:w="960"/>
          </w:tcPr>
          <w:p>
            <w:pPr>
              <w:jc w:val="center"/>
            </w:pPr>
            <w:r>
              <w:rPr>
                <w:rFonts w:ascii="Calibri" w:hAnsi="Calibri"/>
                <w:sz w:val="18"/>
              </w:rPr>
            </w:r>
          </w:p>
        </w:tc>
      </w:tr>
      <w:tr>
        <w:tc>
          <w:tcPr>
            <w:tcW w:type="dxa" w:w="960"/>
          </w:tcPr>
          <w:p>
            <w:pPr>
              <w:jc w:val="left"/>
            </w:pPr>
            <w:r>
              <w:rPr>
                <w:rFonts w:ascii="Calibri" w:hAnsi="Calibri"/>
                <w:b/>
                <w:sz w:val="18"/>
              </w:rPr>
              <w:t>Task Name</w:t>
            </w:r>
          </w:p>
        </w:tc>
        <w:tc>
          <w:tcPr>
            <w:tcW w:type="dxa" w:w="960"/>
          </w:tcPr>
          <w:p>
            <w:pPr>
              <w:jc w:val="center"/>
            </w:pPr>
            <w:r>
              <w:rPr>
                <w:rFonts w:ascii="Calibri" w:hAnsi="Calibri"/>
                <w:sz w:val="18"/>
              </w:rPr>
              <w:t>Design</w:t>
            </w:r>
          </w:p>
        </w:tc>
        <w:tc>
          <w:tcPr>
            <w:tcW w:type="dxa" w:w="960"/>
          </w:tcPr>
          <w:p>
            <w:pPr>
              <w:jc w:val="center"/>
            </w:pPr>
            <w:r>
              <w:rPr>
                <w:rFonts w:ascii="Calibri" w:hAnsi="Calibri"/>
                <w:sz w:val="18"/>
              </w:rPr>
              <w:t>Mob</w:t>
            </w:r>
          </w:p>
        </w:tc>
        <w:tc>
          <w:tcPr>
            <w:tcW w:type="dxa" w:w="960"/>
          </w:tcPr>
          <w:p>
            <w:pPr>
              <w:jc w:val="center"/>
            </w:pPr>
            <w:r>
              <w:rPr>
                <w:rFonts w:ascii="Calibri" w:hAnsi="Calibri"/>
                <w:sz w:val="18"/>
              </w:rPr>
              <w:t>Drilling</w:t>
            </w:r>
          </w:p>
        </w:tc>
        <w:tc>
          <w:tcPr>
            <w:tcW w:type="dxa" w:w="960"/>
          </w:tcPr>
          <w:p>
            <w:pPr>
              <w:jc w:val="center"/>
            </w:pPr>
            <w:r>
              <w:rPr>
                <w:rFonts w:ascii="Calibri" w:hAnsi="Calibri"/>
                <w:b/>
                <w:sz w:val="18"/>
              </w:rPr>
              <w:t>Construction</w:t>
            </w:r>
          </w:p>
        </w:tc>
        <w:tc>
          <w:tcPr>
            <w:tcW w:type="dxa" w:w="960"/>
          </w:tcPr>
          <w:p>
            <w:pPr>
              <w:jc w:val="center"/>
            </w:pPr>
            <w:r>
              <w:rPr>
                <w:rFonts w:ascii="Calibri" w:hAnsi="Calibri"/>
                <w:sz w:val="18"/>
              </w:rPr>
              <w:t>Heating</w:t>
            </w:r>
          </w:p>
        </w:tc>
        <w:tc>
          <w:tcPr>
            <w:tcW w:type="dxa" w:w="960"/>
          </w:tcPr>
          <w:p>
            <w:pPr>
              <w:jc w:val="center"/>
            </w:pPr>
            <w:r>
              <w:rPr>
                <w:rFonts w:ascii="Calibri" w:hAnsi="Calibri"/>
                <w:sz w:val="18"/>
              </w:rPr>
              <w:t>Demob</w:t>
            </w:r>
          </w:p>
        </w:tc>
        <w:tc>
          <w:tcPr>
            <w:tcW w:type="dxa" w:w="960"/>
          </w:tcPr>
          <w:p>
            <w:pPr>
              <w:jc w:val="center"/>
            </w:pPr>
            <w:r>
              <w:rPr>
                <w:rFonts w:ascii="Calibri" w:hAnsi="Calibri"/>
                <w:sz w:val="18"/>
              </w:rPr>
              <w:t>Reporting</w:t>
            </w:r>
          </w:p>
        </w:tc>
        <w:tc>
          <w:tcPr>
            <w:tcW w:type="dxa" w:w="960"/>
          </w:tcPr>
          <w:p>
            <w:pPr>
              <w:jc w:val="center"/>
            </w:pPr>
            <w:r>
              <w:rPr>
                <w:rFonts w:ascii="Calibri" w:hAnsi="Calibri"/>
                <w:sz w:val="18"/>
              </w:rPr>
              <w:t>Total</w:t>
            </w:r>
          </w:p>
        </w:tc>
      </w:tr>
      <w:tr>
        <w:tc>
          <w:tcPr>
            <w:tcW w:type="dxa" w:w="960"/>
          </w:tcPr>
          <w:p>
            <w:pPr>
              <w:jc w:val="left"/>
            </w:pPr>
            <w:r>
              <w:rPr>
                <w:rFonts w:ascii="Calibri" w:hAnsi="Calibri"/>
                <w:b/>
                <w:sz w:val="18"/>
              </w:rPr>
              <w:t>Status</w:t>
            </w:r>
          </w:p>
        </w:tc>
        <w:tc>
          <w:tcPr>
            <w:tcW w:type="dxa" w:w="960"/>
          </w:tcPr>
          <w:p>
            <w:pPr>
              <w:jc w:val="center"/>
            </w:pPr>
            <w:r>
              <w:rPr>
                <w:rFonts w:ascii="Calibri" w:hAnsi="Calibri"/>
                <w:sz w:val="18"/>
              </w:rPr>
              <w:t>Completed</w:t>
            </w:r>
          </w:p>
        </w:tc>
        <w:tc>
          <w:tcPr>
            <w:tcW w:type="dxa" w:w="960"/>
          </w:tcPr>
          <w:p>
            <w:pPr>
              <w:jc w:val="center"/>
            </w:pPr>
            <w:r>
              <w:rPr>
                <w:rFonts w:ascii="Calibri" w:hAnsi="Calibri"/>
                <w:sz w:val="18"/>
              </w:rPr>
              <w:t>Completed</w:t>
            </w:r>
          </w:p>
        </w:tc>
        <w:tc>
          <w:tcPr>
            <w:tcW w:type="dxa" w:w="960"/>
          </w:tcPr>
          <w:p>
            <w:pPr>
              <w:jc w:val="center"/>
            </w:pPr>
            <w:r>
              <w:rPr>
                <w:rFonts w:ascii="Calibri" w:hAnsi="Calibri"/>
                <w:sz w:val="18"/>
              </w:rPr>
              <w:t>Completed</w:t>
            </w:r>
          </w:p>
        </w:tc>
        <w:tc>
          <w:tcPr>
            <w:tcW w:type="dxa" w:w="960"/>
          </w:tcPr>
          <w:p>
            <w:pPr>
              <w:jc w:val="center"/>
            </w:pPr>
            <w:r>
              <w:rPr>
                <w:rFonts w:ascii="Calibri" w:hAnsi="Calibri"/>
                <w:b/>
                <w:sz w:val="18"/>
              </w:rPr>
              <w:t>In Progress</w:t>
            </w:r>
          </w:p>
        </w:tc>
        <w:tc>
          <w:tcPr>
            <w:tcW w:type="dxa" w:w="960"/>
          </w:tcPr>
          <w:p>
            <w:pPr>
              <w:jc w:val="center"/>
            </w:pPr>
            <w:r>
              <w:rPr>
                <w:rFonts w:ascii="Calibri" w:hAnsi="Calibri"/>
                <w:sz w:val="18"/>
              </w:rPr>
              <w:t>Future</w:t>
            </w:r>
          </w:p>
        </w:tc>
        <w:tc>
          <w:tcPr>
            <w:tcW w:type="dxa" w:w="960"/>
          </w:tcPr>
          <w:p>
            <w:pPr>
              <w:jc w:val="center"/>
            </w:pPr>
            <w:r>
              <w:rPr>
                <w:rFonts w:ascii="Calibri" w:hAnsi="Calibri"/>
                <w:sz w:val="18"/>
              </w:rPr>
              <w:t>Future</w:t>
            </w:r>
          </w:p>
        </w:tc>
        <w:tc>
          <w:tcPr>
            <w:tcW w:type="dxa" w:w="960"/>
          </w:tcPr>
          <w:p>
            <w:pPr>
              <w:jc w:val="center"/>
            </w:pPr>
            <w:r>
              <w:rPr>
                <w:rFonts w:ascii="Calibri" w:hAnsi="Calibri"/>
                <w:sz w:val="18"/>
              </w:rPr>
              <w:t>Future</w:t>
            </w:r>
          </w:p>
        </w:tc>
        <w:tc>
          <w:tcPr>
            <w:tcW w:type="dxa" w:w="960"/>
          </w:tcPr>
          <w:p>
            <w:pPr>
              <w:jc w:val="center"/>
            </w:pPr>
            <w:r>
              <w:rPr>
                <w:rFonts w:ascii="Calibri" w:hAnsi="Calibri"/>
                <w:sz w:val="18"/>
              </w:rPr>
              <w:t>N/A</w:t>
            </w:r>
          </w:p>
        </w:tc>
      </w:tr>
      <w:tr>
        <w:tc>
          <w:tcPr>
            <w:tcW w:type="dxa" w:w="960"/>
          </w:tcPr>
          <w:p>
            <w:pPr>
              <w:jc w:val="left"/>
            </w:pPr>
            <w:r>
              <w:rPr>
                <w:rFonts w:ascii="Calibri" w:hAnsi="Calibri"/>
                <w:b/>
                <w:sz w:val="18"/>
              </w:rPr>
              <w:t>Schedule</w:t>
            </w:r>
          </w:p>
        </w:tc>
        <w:tc>
          <w:tcPr>
            <w:tcW w:type="dxa" w:w="960"/>
          </w:tcPr>
          <w:p>
            <w:pPr>
              <w:jc w:val="center"/>
            </w:pPr>
            <w:r>
              <w:rPr>
                <w:rFonts w:ascii="Calibri" w:hAnsi="Calibri"/>
                <w:sz w:val="18"/>
              </w:rPr>
              <w:t>04/01/25 - 05/30/25</w:t>
            </w:r>
          </w:p>
        </w:tc>
        <w:tc>
          <w:tcPr>
            <w:tcW w:type="dxa" w:w="960"/>
          </w:tcPr>
          <w:p>
            <w:pPr>
              <w:jc w:val="center"/>
            </w:pPr>
            <w:r>
              <w:rPr>
                <w:rFonts w:ascii="Calibri" w:hAnsi="Calibri"/>
                <w:sz w:val="18"/>
              </w:rPr>
              <w:t>06/01/25 - 08/22/25</w:t>
            </w:r>
          </w:p>
        </w:tc>
        <w:tc>
          <w:tcPr>
            <w:tcW w:type="dxa" w:w="960"/>
          </w:tcPr>
          <w:p>
            <w:pPr>
              <w:jc w:val="center"/>
            </w:pPr>
            <w:r>
              <w:rPr>
                <w:rFonts w:ascii="Calibri" w:hAnsi="Calibri"/>
                <w:sz w:val="18"/>
              </w:rPr>
              <w:t>07/21/25 - 09/01/25</w:t>
            </w:r>
          </w:p>
        </w:tc>
        <w:tc>
          <w:tcPr>
            <w:tcW w:type="dxa" w:w="960"/>
          </w:tcPr>
          <w:p>
            <w:pPr>
              <w:jc w:val="center"/>
            </w:pPr>
            <w:r>
              <w:rPr>
                <w:rFonts w:ascii="Calibri" w:hAnsi="Calibri"/>
                <w:b/>
                <w:sz w:val="18"/>
              </w:rPr>
              <w:t>09/02/25 - 10/31/25</w:t>
            </w:r>
          </w:p>
        </w:tc>
        <w:tc>
          <w:tcPr>
            <w:tcW w:type="dxa" w:w="960"/>
          </w:tcPr>
          <w:p>
            <w:pPr>
              <w:jc w:val="center"/>
            </w:pPr>
            <w:r>
              <w:rPr>
                <w:rFonts w:ascii="Calibri" w:hAnsi="Calibri"/>
                <w:sz w:val="18"/>
              </w:rPr>
              <w:t>11/03/25 - 05/21/26</w:t>
            </w:r>
          </w:p>
        </w:tc>
        <w:tc>
          <w:tcPr>
            <w:tcW w:type="dxa" w:w="960"/>
          </w:tcPr>
          <w:p>
            <w:pPr>
              <w:jc w:val="center"/>
            </w:pPr>
            <w:r>
              <w:rPr>
                <w:rFonts w:ascii="Calibri" w:hAnsi="Calibri"/>
                <w:sz w:val="18"/>
              </w:rPr>
              <w:t>05/22/26 - 06/12/26</w:t>
            </w:r>
          </w:p>
        </w:tc>
        <w:tc>
          <w:tcPr>
            <w:tcW w:type="dxa" w:w="960"/>
          </w:tcPr>
          <w:p>
            <w:pPr>
              <w:jc w:val="center"/>
            </w:pPr>
            <w:r>
              <w:rPr>
                <w:rFonts w:ascii="Calibri" w:hAnsi="Calibri"/>
                <w:sz w:val="18"/>
              </w:rPr>
              <w:t>05/22/26 - 07/16/26</w:t>
            </w:r>
          </w:p>
        </w:tc>
        <w:tc>
          <w:tcPr>
            <w:tcW w:type="dxa" w:w="960"/>
          </w:tcPr>
          <w:p>
            <w:pPr>
              <w:jc w:val="center"/>
            </w:pPr>
            <w:r>
              <w:rPr>
                <w:rFonts w:ascii="Calibri" w:hAnsi="Calibri"/>
                <w:sz w:val="18"/>
              </w:rPr>
              <w:t>04/01/25 - 07/16/26</w:t>
            </w:r>
          </w:p>
        </w:tc>
      </w:tr>
      <w:tr>
        <w:tc>
          <w:tcPr>
            <w:tcW w:type="dxa" w:w="960"/>
          </w:tcPr>
          <w:p>
            <w:pPr>
              <w:jc w:val="left"/>
            </w:pPr>
            <w:r>
              <w:rPr>
                <w:rFonts w:ascii="Calibri" w:hAnsi="Calibri"/>
                <w:b/>
                <w:sz w:val="18"/>
              </w:rPr>
              <w:t>Planned Duration</w:t>
            </w:r>
          </w:p>
        </w:tc>
        <w:tc>
          <w:tcPr>
            <w:tcW w:type="dxa" w:w="960"/>
          </w:tcPr>
          <w:p>
            <w:pPr>
              <w:jc w:val="center"/>
            </w:pPr>
            <w:r>
              <w:rPr>
                <w:rFonts w:ascii="Calibri" w:hAnsi="Calibri"/>
                <w:sz w:val="18"/>
              </w:rPr>
              <w:t>48</w:t>
            </w:r>
          </w:p>
        </w:tc>
        <w:tc>
          <w:tcPr>
            <w:tcW w:type="dxa" w:w="960"/>
          </w:tcPr>
          <w:p>
            <w:pPr>
              <w:jc w:val="center"/>
            </w:pPr>
            <w:r>
              <w:rPr>
                <w:rFonts w:ascii="Calibri" w:hAnsi="Calibri"/>
                <w:sz w:val="18"/>
              </w:rPr>
              <w:t>50</w:t>
            </w:r>
          </w:p>
        </w:tc>
        <w:tc>
          <w:tcPr>
            <w:tcW w:type="dxa" w:w="960"/>
          </w:tcPr>
          <w:p>
            <w:pPr>
              <w:jc w:val="center"/>
            </w:pPr>
            <w:r>
              <w:rPr>
                <w:rFonts w:ascii="Calibri" w:hAnsi="Calibri"/>
                <w:sz w:val="18"/>
              </w:rPr>
              <w:t>35</w:t>
            </w:r>
          </w:p>
        </w:tc>
        <w:tc>
          <w:tcPr>
            <w:tcW w:type="dxa" w:w="960"/>
          </w:tcPr>
          <w:p>
            <w:pPr>
              <w:jc w:val="center"/>
            </w:pPr>
            <w:r>
              <w:rPr>
                <w:rFonts w:ascii="Calibri" w:hAnsi="Calibri"/>
                <w:b/>
                <w:sz w:val="18"/>
              </w:rPr>
              <w:t>30</w:t>
            </w:r>
          </w:p>
        </w:tc>
        <w:tc>
          <w:tcPr>
            <w:tcW w:type="dxa" w:w="960"/>
          </w:tcPr>
          <w:p>
            <w:pPr>
              <w:jc w:val="center"/>
            </w:pPr>
            <w:r>
              <w:rPr>
                <w:rFonts w:ascii="Calibri" w:hAnsi="Calibri"/>
                <w:sz w:val="18"/>
              </w:rPr>
              <w:t>200</w:t>
            </w:r>
          </w:p>
        </w:tc>
        <w:tc>
          <w:tcPr>
            <w:tcW w:type="dxa" w:w="960"/>
          </w:tcPr>
          <w:p>
            <w:pPr>
              <w:jc w:val="center"/>
            </w:pPr>
            <w:r>
              <w:rPr>
                <w:rFonts w:ascii="Calibri" w:hAnsi="Calibri"/>
                <w:sz w:val="18"/>
              </w:rPr>
              <w:t>16</w:t>
            </w:r>
          </w:p>
        </w:tc>
        <w:tc>
          <w:tcPr>
            <w:tcW w:type="dxa" w:w="960"/>
          </w:tcPr>
          <w:p>
            <w:pPr>
              <w:jc w:val="center"/>
            </w:pPr>
            <w:r>
              <w:rPr>
                <w:rFonts w:ascii="Calibri" w:hAnsi="Calibri"/>
                <w:sz w:val="18"/>
              </w:rPr>
              <w:t>40</w:t>
            </w:r>
          </w:p>
        </w:tc>
        <w:tc>
          <w:tcPr>
            <w:tcW w:type="dxa" w:w="960"/>
          </w:tcPr>
          <w:p>
            <w:pPr>
              <w:jc w:val="center"/>
            </w:pPr>
            <w:r>
              <w:rPr>
                <w:rFonts w:ascii="Calibri" w:hAnsi="Calibri"/>
                <w:sz w:val="18"/>
              </w:rPr>
              <w:t>471</w:t>
            </w:r>
          </w:p>
        </w:tc>
      </w:tr>
      <w:tr>
        <w:tc>
          <w:tcPr>
            <w:tcW w:type="dxa" w:w="960"/>
          </w:tcPr>
          <w:p>
            <w:pPr>
              <w:jc w:val="left"/>
            </w:pPr>
            <w:r>
              <w:rPr>
                <w:rFonts w:ascii="Calibri" w:hAnsi="Calibri"/>
                <w:b/>
                <w:sz w:val="18"/>
              </w:rPr>
              <w:t>Actual Duration</w:t>
            </w:r>
          </w:p>
        </w:tc>
        <w:tc>
          <w:tcPr>
            <w:tcW w:type="dxa" w:w="960"/>
          </w:tcPr>
          <w:p>
            <w:pPr>
              <w:jc w:val="center"/>
            </w:pPr>
            <w:r>
              <w:rPr>
                <w:rFonts w:ascii="Calibri" w:hAnsi="Calibri"/>
                <w:sz w:val="18"/>
              </w:rPr>
              <w:t>44</w:t>
            </w:r>
          </w:p>
        </w:tc>
        <w:tc>
          <w:tcPr>
            <w:tcW w:type="dxa" w:w="960"/>
          </w:tcPr>
          <w:p>
            <w:pPr>
              <w:jc w:val="center"/>
            </w:pPr>
            <w:r>
              <w:rPr>
                <w:rFonts w:ascii="Calibri" w:hAnsi="Calibri"/>
                <w:sz w:val="18"/>
              </w:rPr>
              <w:t>60</w:t>
            </w:r>
          </w:p>
        </w:tc>
        <w:tc>
          <w:tcPr>
            <w:tcW w:type="dxa" w:w="960"/>
          </w:tcPr>
          <w:p>
            <w:pPr>
              <w:jc w:val="center"/>
            </w:pPr>
            <w:r>
              <w:rPr>
                <w:rFonts w:ascii="Calibri" w:hAnsi="Calibri"/>
                <w:sz w:val="18"/>
              </w:rPr>
              <w:t>31</w:t>
            </w:r>
          </w:p>
        </w:tc>
        <w:tc>
          <w:tcPr>
            <w:tcW w:type="dxa" w:w="960"/>
          </w:tcPr>
          <w:p>
            <w:pPr>
              <w:jc w:val="center"/>
            </w:pPr>
            <w:r>
              <w:rPr>
                <w:rFonts w:ascii="Calibri" w:hAnsi="Calibri"/>
                <w:b/>
                <w:sz w:val="18"/>
              </w:rPr>
              <w:t>39</w:t>
            </w:r>
          </w:p>
        </w:tc>
        <w:tc>
          <w:tcPr>
            <w:tcW w:type="dxa" w:w="960"/>
          </w:tcPr>
          <w:p>
            <w:pPr>
              <w:jc w:val="center"/>
            </w:pPr>
            <w:r>
              <w:rPr>
                <w:rFonts w:ascii="Calibri" w:hAnsi="Calibri"/>
                <w:sz w:val="18"/>
              </w:rPr>
              <w:t>N/A</w:t>
            </w:r>
          </w:p>
        </w:tc>
        <w:tc>
          <w:tcPr>
            <w:tcW w:type="dxa" w:w="960"/>
          </w:tcPr>
          <w:p>
            <w:pPr>
              <w:jc w:val="center"/>
            </w:pPr>
            <w:r>
              <w:rPr>
                <w:rFonts w:ascii="Calibri" w:hAnsi="Calibri"/>
                <w:sz w:val="18"/>
              </w:rPr>
              <w:t>N/A</w:t>
            </w:r>
          </w:p>
        </w:tc>
        <w:tc>
          <w:tcPr>
            <w:tcW w:type="dxa" w:w="960"/>
          </w:tcPr>
          <w:p>
            <w:pPr>
              <w:jc w:val="center"/>
            </w:pPr>
            <w:r>
              <w:rPr>
                <w:rFonts w:ascii="Calibri" w:hAnsi="Calibri"/>
                <w:sz w:val="18"/>
              </w:rPr>
              <w:t>N/A</w:t>
            </w:r>
          </w:p>
        </w:tc>
        <w:tc>
          <w:tcPr>
            <w:tcW w:type="dxa" w:w="960"/>
          </w:tcPr>
          <w:p>
            <w:pPr>
              <w:jc w:val="center"/>
            </w:pPr>
            <w:r>
              <w:rPr>
                <w:rFonts w:ascii="Calibri" w:hAnsi="Calibri"/>
                <w:sz w:val="18"/>
              </w:rPr>
              <w:t>207</w:t>
            </w:r>
          </w:p>
        </w:tc>
      </w:tr>
      <w:tr>
        <w:tc>
          <w:tcPr>
            <w:tcW w:type="dxa" w:w="960"/>
            <w:shd w:val="clear" w:color="auto" w:fill="D4F0D4"/>
          </w:tcPr>
          <w:p>
            <w:pPr>
              <w:jc w:val="left"/>
            </w:pPr>
            <w:r>
              <w:rPr>
                <w:rFonts w:ascii="Calibri" w:hAnsi="Calibri"/>
                <w:b/>
                <w:sz w:val="18"/>
              </w:rPr>
              <w:t>Duration %</w:t>
            </w:r>
          </w:p>
        </w:tc>
        <w:tc>
          <w:tcPr>
            <w:tcW w:type="dxa" w:w="960"/>
            <w:shd w:val="clear" w:color="auto" w:fill="D4F0D4"/>
          </w:tcPr>
          <w:p>
            <w:pPr>
              <w:jc w:val="center"/>
            </w:pPr>
            <w:r>
              <w:rPr>
                <w:rFonts w:ascii="Calibri" w:hAnsi="Calibri"/>
                <w:sz w:val="18"/>
              </w:rPr>
              <w:t>92%</w:t>
            </w:r>
          </w:p>
        </w:tc>
        <w:tc>
          <w:tcPr>
            <w:tcW w:type="dxa" w:w="960"/>
            <w:shd w:val="clear" w:color="auto" w:fill="D4F0D4"/>
          </w:tcPr>
          <w:p>
            <w:pPr>
              <w:jc w:val="center"/>
            </w:pPr>
            <w:r>
              <w:rPr>
                <w:rFonts w:ascii="Calibri" w:hAnsi="Calibri"/>
                <w:color w:val="FF0000"/>
                <w:sz w:val="18"/>
              </w:rPr>
              <w:t>120%</w:t>
            </w:r>
          </w:p>
        </w:tc>
        <w:tc>
          <w:tcPr>
            <w:tcW w:type="dxa" w:w="960"/>
            <w:shd w:val="clear" w:color="auto" w:fill="D4F0D4"/>
          </w:tcPr>
          <w:p>
            <w:pPr>
              <w:jc w:val="center"/>
            </w:pPr>
            <w:r>
              <w:rPr>
                <w:rFonts w:ascii="Calibri" w:hAnsi="Calibri"/>
                <w:sz w:val="18"/>
              </w:rPr>
              <w:t>89%</w:t>
            </w:r>
          </w:p>
        </w:tc>
        <w:tc>
          <w:tcPr>
            <w:tcW w:type="dxa" w:w="960"/>
            <w:shd w:val="clear" w:color="auto" w:fill="D4F0D4"/>
          </w:tcPr>
          <w:p>
            <w:pPr>
              <w:jc w:val="center"/>
            </w:pPr>
            <w:r>
              <w:rPr>
                <w:rFonts w:ascii="Calibri" w:hAnsi="Calibri"/>
                <w:b/>
                <w:color w:val="FF0000"/>
                <w:sz w:val="18"/>
              </w:rPr>
              <w:t>130%</w:t>
            </w:r>
          </w:p>
        </w:tc>
        <w:tc>
          <w:tcPr>
            <w:tcW w:type="dxa" w:w="960"/>
            <w:shd w:val="clear" w:color="auto" w:fill="D4F0D4"/>
          </w:tcPr>
          <w:p>
            <w:pPr>
              <w:jc w:val="center"/>
            </w:pPr>
            <w:r>
              <w:rPr>
                <w:rFonts w:ascii="Calibri" w:hAnsi="Calibri"/>
                <w:sz w:val="18"/>
              </w:rPr>
              <w:t>N/A</w:t>
            </w:r>
          </w:p>
        </w:tc>
        <w:tc>
          <w:tcPr>
            <w:tcW w:type="dxa" w:w="960"/>
            <w:shd w:val="clear" w:color="auto" w:fill="D4F0D4"/>
          </w:tcPr>
          <w:p>
            <w:pPr>
              <w:jc w:val="center"/>
            </w:pPr>
            <w:r>
              <w:rPr>
                <w:rFonts w:ascii="Calibri" w:hAnsi="Calibri"/>
                <w:sz w:val="18"/>
              </w:rPr>
              <w:t>N/A</w:t>
            </w:r>
          </w:p>
        </w:tc>
        <w:tc>
          <w:tcPr>
            <w:tcW w:type="dxa" w:w="960"/>
            <w:shd w:val="clear" w:color="auto" w:fill="D4F0D4"/>
          </w:tcPr>
          <w:p>
            <w:pPr>
              <w:jc w:val="center"/>
            </w:pPr>
            <w:r>
              <w:rPr>
                <w:rFonts w:ascii="Calibri" w:hAnsi="Calibri"/>
                <w:sz w:val="18"/>
              </w:rPr>
              <w:t>N/A</w:t>
            </w:r>
          </w:p>
        </w:tc>
        <w:tc>
          <w:tcPr>
            <w:tcW w:type="dxa" w:w="960"/>
            <w:shd w:val="clear" w:color="auto" w:fill="D4F0D4"/>
          </w:tcPr>
          <w:p>
            <w:pPr>
              <w:jc w:val="center"/>
            </w:pPr>
            <w:r>
              <w:rPr>
                <w:rFonts w:ascii="Calibri" w:hAnsi="Calibri"/>
                <w:sz w:val="18"/>
              </w:rPr>
              <w:t>44%</w:t>
            </w:r>
          </w:p>
        </w:tc>
      </w:tr>
      <w:tr>
        <w:tc>
          <w:tcPr>
            <w:tcW w:type="dxa" w:w="960"/>
          </w:tcPr>
          <w:p>
            <w:pPr>
              <w:jc w:val="left"/>
            </w:pPr>
            <w:r>
              <w:rPr>
                <w:rFonts w:ascii="Calibri" w:hAnsi="Calibri"/>
                <w:b/>
                <w:sz w:val="18"/>
              </w:rPr>
              <w:t>Invoice</w:t>
            </w:r>
          </w:p>
        </w:tc>
        <w:tc>
          <w:tcPr>
            <w:tcW w:type="dxa" w:w="960"/>
          </w:tcPr>
          <w:p>
            <w:pPr>
              <w:jc w:val="center"/>
            </w:pPr>
            <w:r>
              <w:rPr>
                <w:rFonts w:ascii="Calibri" w:hAnsi="Calibri"/>
                <w:sz w:val="18"/>
              </w:rPr>
              <w:t>$105,054</w:t>
            </w:r>
          </w:p>
        </w:tc>
        <w:tc>
          <w:tcPr>
            <w:tcW w:type="dxa" w:w="960"/>
          </w:tcPr>
          <w:p>
            <w:pPr>
              <w:jc w:val="center"/>
            </w:pPr>
            <w:r>
              <w:rPr>
                <w:rFonts w:ascii="Calibri" w:hAnsi="Calibri"/>
                <w:sz w:val="18"/>
              </w:rPr>
              <w:t>$344,279</w:t>
            </w:r>
          </w:p>
        </w:tc>
        <w:tc>
          <w:tcPr>
            <w:tcW w:type="dxa" w:w="960"/>
          </w:tcPr>
          <w:p>
            <w:pPr>
              <w:jc w:val="center"/>
            </w:pPr>
            <w:r>
              <w:rPr>
                <w:rFonts w:ascii="Calibri" w:hAnsi="Calibri"/>
                <w:sz w:val="18"/>
              </w:rPr>
              <w:t>$592,513</w:t>
            </w:r>
          </w:p>
        </w:tc>
        <w:tc>
          <w:tcPr>
            <w:tcW w:type="dxa" w:w="960"/>
          </w:tcPr>
          <w:p>
            <w:pPr>
              <w:jc w:val="center"/>
            </w:pPr>
            <w:r>
              <w:rPr>
                <w:rFonts w:ascii="Calibri" w:hAnsi="Calibri"/>
                <w:b/>
                <w:sz w:val="18"/>
              </w:rPr>
              <w:t>$279,193</w:t>
            </w:r>
          </w:p>
        </w:tc>
        <w:tc>
          <w:tcPr>
            <w:tcW w:type="dxa" w:w="960"/>
          </w:tcPr>
          <w:p>
            <w:pPr>
              <w:jc w:val="center"/>
            </w:pPr>
            <w:r>
              <w:rPr>
                <w:rFonts w:ascii="Calibri" w:hAnsi="Calibri"/>
                <w:sz w:val="18"/>
              </w:rPr>
              <w:t>$648,306</w:t>
            </w:r>
          </w:p>
        </w:tc>
        <w:tc>
          <w:tcPr>
            <w:tcW w:type="dxa" w:w="960"/>
          </w:tcPr>
          <w:p>
            <w:pPr>
              <w:jc w:val="center"/>
            </w:pPr>
            <w:r>
              <w:rPr>
                <w:rFonts w:ascii="Calibri" w:hAnsi="Calibri"/>
                <w:sz w:val="18"/>
              </w:rPr>
              <w:t>$278,872</w:t>
            </w:r>
          </w:p>
        </w:tc>
        <w:tc>
          <w:tcPr>
            <w:tcW w:type="dxa" w:w="960"/>
          </w:tcPr>
          <w:p>
            <w:pPr>
              <w:jc w:val="center"/>
            </w:pPr>
            <w:r>
              <w:rPr>
                <w:rFonts w:ascii="Calibri" w:hAnsi="Calibri"/>
                <w:sz w:val="18"/>
              </w:rPr>
              <w:t>$46,150</w:t>
            </w:r>
          </w:p>
        </w:tc>
        <w:tc>
          <w:tcPr>
            <w:tcW w:type="dxa" w:w="960"/>
          </w:tcPr>
          <w:p>
            <w:pPr>
              <w:jc w:val="center"/>
            </w:pPr>
            <w:r>
              <w:rPr>
                <w:rFonts w:ascii="Calibri" w:hAnsi="Calibri"/>
                <w:sz w:val="18"/>
              </w:rPr>
              <w:t>$2,294,368</w:t>
            </w:r>
          </w:p>
        </w:tc>
      </w:tr>
      <w:tr>
        <w:tc>
          <w:tcPr>
            <w:tcW w:type="dxa" w:w="960"/>
          </w:tcPr>
          <w:p>
            <w:pPr>
              <w:jc w:val="left"/>
            </w:pPr>
            <w:r>
              <w:rPr>
                <w:rFonts w:ascii="Calibri" w:hAnsi="Calibri"/>
                <w:b/>
                <w:sz w:val="18"/>
              </w:rPr>
              <w:t>Income Received</w:t>
            </w:r>
          </w:p>
        </w:tc>
        <w:tc>
          <w:tcPr>
            <w:tcW w:type="dxa" w:w="960"/>
          </w:tcPr>
          <w:p>
            <w:pPr>
              <w:jc w:val="center"/>
            </w:pPr>
            <w:r>
              <w:rPr>
                <w:rFonts w:ascii="Calibri" w:hAnsi="Calibri"/>
                <w:sz w:val="18"/>
              </w:rPr>
              <w:t>$105,054</w:t>
            </w:r>
          </w:p>
        </w:tc>
        <w:tc>
          <w:tcPr>
            <w:tcW w:type="dxa" w:w="960"/>
          </w:tcPr>
          <w:p>
            <w:pPr>
              <w:jc w:val="center"/>
            </w:pPr>
            <w:r>
              <w:rPr>
                <w:rFonts w:ascii="Calibri" w:hAnsi="Calibri"/>
                <w:sz w:val="18"/>
              </w:rPr>
              <w:t>$284,997</w:t>
            </w:r>
          </w:p>
        </w:tc>
        <w:tc>
          <w:tcPr>
            <w:tcW w:type="dxa" w:w="960"/>
          </w:tcPr>
          <w:p>
            <w:pPr>
              <w:jc w:val="center"/>
            </w:pPr>
            <w:r>
              <w:rPr>
                <w:rFonts w:ascii="Calibri" w:hAnsi="Calibri"/>
                <w:sz w:val="18"/>
              </w:rPr>
              <w:t>$272,151</w:t>
            </w:r>
          </w:p>
        </w:tc>
        <w:tc>
          <w:tcPr>
            <w:tcW w:type="dxa" w:w="960"/>
          </w:tcPr>
          <w:p>
            <w:pPr>
              <w:jc w:val="center"/>
            </w:pPr>
            <w:r>
              <w:rPr>
                <w:rFonts w:ascii="Calibri" w:hAnsi="Calibri"/>
                <w:b/>
                <w:sz w:val="18"/>
              </w:rPr>
              <w:t>$0</w:t>
            </w:r>
          </w:p>
        </w:tc>
        <w:tc>
          <w:tcPr>
            <w:tcW w:type="dxa" w:w="960"/>
          </w:tcPr>
          <w:p>
            <w:pPr>
              <w:jc w:val="center"/>
            </w:pPr>
            <w:r>
              <w:rPr>
                <w:rFonts w:ascii="Calibri" w:hAnsi="Calibri"/>
                <w:sz w:val="18"/>
              </w:rPr>
              <w:t>$0</w:t>
            </w:r>
          </w:p>
        </w:tc>
        <w:tc>
          <w:tcPr>
            <w:tcW w:type="dxa" w:w="960"/>
          </w:tcPr>
          <w:p>
            <w:pPr>
              <w:jc w:val="center"/>
            </w:pPr>
            <w:r>
              <w:rPr>
                <w:rFonts w:ascii="Calibri" w:hAnsi="Calibri"/>
                <w:sz w:val="18"/>
              </w:rPr>
              <w:t>$0</w:t>
            </w:r>
          </w:p>
        </w:tc>
        <w:tc>
          <w:tcPr>
            <w:tcW w:type="dxa" w:w="960"/>
          </w:tcPr>
          <w:p>
            <w:pPr>
              <w:jc w:val="center"/>
            </w:pPr>
            <w:r>
              <w:rPr>
                <w:rFonts w:ascii="Calibri" w:hAnsi="Calibri"/>
                <w:sz w:val="18"/>
              </w:rPr>
              <w:t>$0</w:t>
            </w:r>
          </w:p>
        </w:tc>
        <w:tc>
          <w:tcPr>
            <w:tcW w:type="dxa" w:w="960"/>
          </w:tcPr>
          <w:p>
            <w:pPr>
              <w:jc w:val="center"/>
            </w:pPr>
            <w:r>
              <w:rPr>
                <w:rFonts w:ascii="Calibri" w:hAnsi="Calibri"/>
                <w:sz w:val="18"/>
              </w:rPr>
              <w:t>$662,202</w:t>
            </w:r>
          </w:p>
        </w:tc>
      </w:tr>
      <w:tr>
        <w:tc>
          <w:tcPr>
            <w:tcW w:type="dxa" w:w="960"/>
            <w:shd w:val="clear" w:color="auto" w:fill="D4F0D4"/>
          </w:tcPr>
          <w:p>
            <w:pPr>
              <w:jc w:val="left"/>
            </w:pPr>
            <w:r>
              <w:rPr>
                <w:rFonts w:ascii="Calibri" w:hAnsi="Calibri"/>
                <w:b/>
                <w:sz w:val="18"/>
              </w:rPr>
              <w:t>Income %</w:t>
            </w:r>
          </w:p>
        </w:tc>
        <w:tc>
          <w:tcPr>
            <w:tcW w:type="dxa" w:w="960"/>
            <w:shd w:val="clear" w:color="auto" w:fill="D4F0D4"/>
          </w:tcPr>
          <w:p>
            <w:pPr>
              <w:jc w:val="center"/>
            </w:pPr>
            <w:r>
              <w:rPr>
                <w:rFonts w:ascii="Calibri" w:hAnsi="Calibri"/>
                <w:sz w:val="18"/>
              </w:rPr>
              <w:t>100%</w:t>
            </w:r>
          </w:p>
        </w:tc>
        <w:tc>
          <w:tcPr>
            <w:tcW w:type="dxa" w:w="960"/>
            <w:shd w:val="clear" w:color="auto" w:fill="D4F0D4"/>
          </w:tcPr>
          <w:p>
            <w:pPr>
              <w:jc w:val="center"/>
            </w:pPr>
            <w:r>
              <w:rPr>
                <w:rFonts w:ascii="Calibri" w:hAnsi="Calibri"/>
                <w:sz w:val="18"/>
              </w:rPr>
              <w:t>83%</w:t>
            </w:r>
          </w:p>
        </w:tc>
        <w:tc>
          <w:tcPr>
            <w:tcW w:type="dxa" w:w="960"/>
            <w:shd w:val="clear" w:color="auto" w:fill="D4F0D4"/>
          </w:tcPr>
          <w:p>
            <w:pPr>
              <w:jc w:val="center"/>
            </w:pPr>
            <w:r>
              <w:rPr>
                <w:rFonts w:ascii="Calibri" w:hAnsi="Calibri"/>
                <w:sz w:val="18"/>
              </w:rPr>
              <w:t>46%</w:t>
            </w:r>
          </w:p>
        </w:tc>
        <w:tc>
          <w:tcPr>
            <w:tcW w:type="dxa" w:w="960"/>
            <w:shd w:val="clear" w:color="auto" w:fill="D4F0D4"/>
          </w:tcPr>
          <w:p>
            <w:pPr>
              <w:jc w:val="center"/>
            </w:pPr>
            <w:r>
              <w:rPr>
                <w:rFonts w:ascii="Calibri" w:hAnsi="Calibri"/>
                <w:b/>
                <w:sz w:val="18"/>
              </w:rPr>
              <w:t>N/A</w:t>
            </w:r>
          </w:p>
        </w:tc>
        <w:tc>
          <w:tcPr>
            <w:tcW w:type="dxa" w:w="960"/>
            <w:shd w:val="clear" w:color="auto" w:fill="D4F0D4"/>
          </w:tcPr>
          <w:p>
            <w:pPr>
              <w:jc w:val="center"/>
            </w:pPr>
            <w:r>
              <w:rPr>
                <w:rFonts w:ascii="Calibri" w:hAnsi="Calibri"/>
                <w:sz w:val="18"/>
              </w:rPr>
              <w:t>N/A</w:t>
            </w:r>
          </w:p>
        </w:tc>
        <w:tc>
          <w:tcPr>
            <w:tcW w:type="dxa" w:w="960"/>
            <w:shd w:val="clear" w:color="auto" w:fill="D4F0D4"/>
          </w:tcPr>
          <w:p>
            <w:pPr>
              <w:jc w:val="center"/>
            </w:pPr>
            <w:r>
              <w:rPr>
                <w:rFonts w:ascii="Calibri" w:hAnsi="Calibri"/>
                <w:sz w:val="18"/>
              </w:rPr>
              <w:t>N/A</w:t>
            </w:r>
          </w:p>
        </w:tc>
        <w:tc>
          <w:tcPr>
            <w:tcW w:type="dxa" w:w="960"/>
            <w:shd w:val="clear" w:color="auto" w:fill="D4F0D4"/>
          </w:tcPr>
          <w:p>
            <w:pPr>
              <w:jc w:val="center"/>
            </w:pPr>
            <w:r>
              <w:rPr>
                <w:rFonts w:ascii="Calibri" w:hAnsi="Calibri"/>
                <w:sz w:val="18"/>
              </w:rPr>
              <w:t>N/A</w:t>
            </w:r>
          </w:p>
        </w:tc>
        <w:tc>
          <w:tcPr>
            <w:tcW w:type="dxa" w:w="960"/>
            <w:shd w:val="clear" w:color="auto" w:fill="D4F0D4"/>
          </w:tcPr>
          <w:p>
            <w:pPr>
              <w:jc w:val="center"/>
            </w:pPr>
            <w:r>
              <w:rPr>
                <w:rFonts w:ascii="Calibri" w:hAnsi="Calibri"/>
                <w:sz w:val="18"/>
              </w:rPr>
              <w:t>29%</w:t>
            </w:r>
          </w:p>
        </w:tc>
      </w:tr>
      <w:tr>
        <w:tc>
          <w:tcPr>
            <w:tcW w:type="dxa" w:w="960"/>
          </w:tcPr>
          <w:p>
            <w:pPr>
              <w:jc w:val="left"/>
            </w:pPr>
            <w:r>
              <w:rPr>
                <w:rFonts w:ascii="Calibri" w:hAnsi="Calibri"/>
                <w:b/>
                <w:sz w:val="18"/>
              </w:rPr>
              <w:t>Planned Spend</w:t>
            </w:r>
          </w:p>
        </w:tc>
        <w:tc>
          <w:tcPr>
            <w:tcW w:type="dxa" w:w="960"/>
          </w:tcPr>
          <w:p>
            <w:pPr>
              <w:jc w:val="center"/>
            </w:pPr>
            <w:r>
              <w:rPr>
                <w:rFonts w:ascii="Calibri" w:hAnsi="Calibri"/>
                <w:sz w:val="18"/>
              </w:rPr>
              <w:t>$77,818</w:t>
            </w:r>
          </w:p>
        </w:tc>
        <w:tc>
          <w:tcPr>
            <w:tcW w:type="dxa" w:w="960"/>
          </w:tcPr>
          <w:p>
            <w:pPr>
              <w:jc w:val="center"/>
            </w:pPr>
            <w:r>
              <w:rPr>
                <w:rFonts w:ascii="Calibri" w:hAnsi="Calibri"/>
                <w:sz w:val="18"/>
              </w:rPr>
              <w:t>$357,757</w:t>
            </w:r>
          </w:p>
        </w:tc>
        <w:tc>
          <w:tcPr>
            <w:tcW w:type="dxa" w:w="960"/>
          </w:tcPr>
          <w:p>
            <w:pPr>
              <w:jc w:val="center"/>
            </w:pPr>
            <w:r>
              <w:rPr>
                <w:rFonts w:ascii="Calibri" w:hAnsi="Calibri"/>
                <w:sz w:val="18"/>
              </w:rPr>
              <w:t>$498,552</w:t>
            </w:r>
          </w:p>
        </w:tc>
        <w:tc>
          <w:tcPr>
            <w:tcW w:type="dxa" w:w="960"/>
          </w:tcPr>
          <w:p>
            <w:pPr>
              <w:jc w:val="center"/>
            </w:pPr>
            <w:r>
              <w:rPr>
                <w:rFonts w:ascii="Calibri" w:hAnsi="Calibri"/>
                <w:b/>
                <w:sz w:val="18"/>
              </w:rPr>
              <w:t>$218,009</w:t>
            </w:r>
          </w:p>
        </w:tc>
        <w:tc>
          <w:tcPr>
            <w:tcW w:type="dxa" w:w="960"/>
          </w:tcPr>
          <w:p>
            <w:pPr>
              <w:jc w:val="center"/>
            </w:pPr>
            <w:r>
              <w:rPr>
                <w:rFonts w:ascii="Calibri" w:hAnsi="Calibri"/>
                <w:sz w:val="18"/>
              </w:rPr>
              <w:t>$437,461</w:t>
            </w:r>
          </w:p>
        </w:tc>
        <w:tc>
          <w:tcPr>
            <w:tcW w:type="dxa" w:w="960"/>
          </w:tcPr>
          <w:p>
            <w:pPr>
              <w:jc w:val="center"/>
            </w:pPr>
            <w:r>
              <w:rPr>
                <w:rFonts w:ascii="Calibri" w:hAnsi="Calibri"/>
                <w:sz w:val="18"/>
              </w:rPr>
              <w:t>$189,445</w:t>
            </w:r>
          </w:p>
        </w:tc>
        <w:tc>
          <w:tcPr>
            <w:tcW w:type="dxa" w:w="960"/>
          </w:tcPr>
          <w:p>
            <w:pPr>
              <w:jc w:val="center"/>
            </w:pPr>
            <w:r>
              <w:rPr>
                <w:rFonts w:ascii="Calibri" w:hAnsi="Calibri"/>
                <w:sz w:val="18"/>
              </w:rPr>
              <w:t>$34,185</w:t>
            </w:r>
          </w:p>
        </w:tc>
        <w:tc>
          <w:tcPr>
            <w:tcW w:type="dxa" w:w="960"/>
          </w:tcPr>
          <w:p>
            <w:pPr>
              <w:jc w:val="center"/>
            </w:pPr>
            <w:r>
              <w:rPr>
                <w:rFonts w:ascii="Calibri" w:hAnsi="Calibri"/>
                <w:sz w:val="18"/>
              </w:rPr>
              <w:t>$1,813,227</w:t>
            </w:r>
          </w:p>
        </w:tc>
      </w:tr>
      <w:tr>
        <w:tc>
          <w:tcPr>
            <w:tcW w:type="dxa" w:w="960"/>
          </w:tcPr>
          <w:p>
            <w:pPr>
              <w:jc w:val="left"/>
            </w:pPr>
            <w:r>
              <w:rPr>
                <w:rFonts w:ascii="Calibri" w:hAnsi="Calibri"/>
                <w:b/>
                <w:sz w:val="18"/>
              </w:rPr>
              <w:t>Actual Spend</w:t>
            </w:r>
          </w:p>
        </w:tc>
        <w:tc>
          <w:tcPr>
            <w:tcW w:type="dxa" w:w="960"/>
          </w:tcPr>
          <w:p>
            <w:pPr>
              <w:jc w:val="center"/>
            </w:pPr>
            <w:r>
              <w:rPr>
                <w:rFonts w:ascii="Calibri" w:hAnsi="Calibri"/>
                <w:sz w:val="18"/>
              </w:rPr>
              <w:t>$17,797</w:t>
            </w:r>
          </w:p>
        </w:tc>
        <w:tc>
          <w:tcPr>
            <w:tcW w:type="dxa" w:w="960"/>
          </w:tcPr>
          <w:p>
            <w:pPr>
              <w:jc w:val="center"/>
            </w:pPr>
            <w:r>
              <w:rPr>
                <w:rFonts w:ascii="Calibri" w:hAnsi="Calibri"/>
                <w:sz w:val="18"/>
              </w:rPr>
              <w:t>$224,822</w:t>
            </w:r>
          </w:p>
        </w:tc>
        <w:tc>
          <w:tcPr>
            <w:tcW w:type="dxa" w:w="960"/>
          </w:tcPr>
          <w:p>
            <w:pPr>
              <w:jc w:val="center"/>
            </w:pPr>
            <w:r>
              <w:rPr>
                <w:rFonts w:ascii="Calibri" w:hAnsi="Calibri"/>
                <w:sz w:val="18"/>
              </w:rPr>
              <w:t>$409,785</w:t>
            </w:r>
          </w:p>
        </w:tc>
        <w:tc>
          <w:tcPr>
            <w:tcW w:type="dxa" w:w="960"/>
          </w:tcPr>
          <w:p>
            <w:pPr>
              <w:jc w:val="center"/>
            </w:pPr>
            <w:r>
              <w:rPr>
                <w:rFonts w:ascii="Calibri" w:hAnsi="Calibri"/>
                <w:b/>
                <w:sz w:val="18"/>
              </w:rPr>
              <w:t>$170,741</w:t>
            </w:r>
          </w:p>
        </w:tc>
        <w:tc>
          <w:tcPr>
            <w:tcW w:type="dxa" w:w="960"/>
          </w:tcPr>
          <w:p>
            <w:pPr>
              <w:jc w:val="center"/>
            </w:pPr>
            <w:r>
              <w:rPr>
                <w:rFonts w:ascii="Calibri" w:hAnsi="Calibri"/>
                <w:sz w:val="18"/>
              </w:rPr>
              <w:t>$0</w:t>
            </w:r>
          </w:p>
        </w:tc>
        <w:tc>
          <w:tcPr>
            <w:tcW w:type="dxa" w:w="960"/>
          </w:tcPr>
          <w:p>
            <w:pPr>
              <w:jc w:val="center"/>
            </w:pPr>
            <w:r>
              <w:rPr>
                <w:rFonts w:ascii="Calibri" w:hAnsi="Calibri"/>
                <w:sz w:val="18"/>
              </w:rPr>
              <w:t>$0</w:t>
            </w:r>
          </w:p>
        </w:tc>
        <w:tc>
          <w:tcPr>
            <w:tcW w:type="dxa" w:w="960"/>
          </w:tcPr>
          <w:p>
            <w:pPr>
              <w:jc w:val="center"/>
            </w:pPr>
            <w:r>
              <w:rPr>
                <w:rFonts w:ascii="Calibri" w:hAnsi="Calibri"/>
                <w:sz w:val="18"/>
              </w:rPr>
              <w:t>$0</w:t>
            </w:r>
          </w:p>
        </w:tc>
        <w:tc>
          <w:tcPr>
            <w:tcW w:type="dxa" w:w="960"/>
          </w:tcPr>
          <w:p>
            <w:pPr>
              <w:jc w:val="center"/>
            </w:pPr>
            <w:r>
              <w:rPr>
                <w:rFonts w:ascii="Calibri" w:hAnsi="Calibri"/>
                <w:sz w:val="18"/>
              </w:rPr>
              <w:t>$823,145</w:t>
            </w:r>
          </w:p>
        </w:tc>
      </w:tr>
      <w:tr>
        <w:tc>
          <w:tcPr>
            <w:tcW w:type="dxa" w:w="960"/>
            <w:shd w:val="clear" w:color="auto" w:fill="D4F0D4"/>
          </w:tcPr>
          <w:p>
            <w:pPr>
              <w:jc w:val="left"/>
            </w:pPr>
            <w:r>
              <w:rPr>
                <w:rFonts w:ascii="Calibri" w:hAnsi="Calibri"/>
                <w:b/>
                <w:sz w:val="18"/>
              </w:rPr>
              <w:t>Spent Cost %</w:t>
            </w:r>
          </w:p>
        </w:tc>
        <w:tc>
          <w:tcPr>
            <w:tcW w:type="dxa" w:w="960"/>
            <w:shd w:val="clear" w:color="auto" w:fill="D4F0D4"/>
          </w:tcPr>
          <w:p>
            <w:pPr>
              <w:jc w:val="center"/>
            </w:pPr>
            <w:r>
              <w:rPr>
                <w:rFonts w:ascii="Calibri" w:hAnsi="Calibri"/>
                <w:sz w:val="18"/>
              </w:rPr>
              <w:t>23%</w:t>
            </w:r>
          </w:p>
        </w:tc>
        <w:tc>
          <w:tcPr>
            <w:tcW w:type="dxa" w:w="960"/>
            <w:shd w:val="clear" w:color="auto" w:fill="D4F0D4"/>
          </w:tcPr>
          <w:p>
            <w:pPr>
              <w:jc w:val="center"/>
            </w:pPr>
            <w:r>
              <w:rPr>
                <w:rFonts w:ascii="Calibri" w:hAnsi="Calibri"/>
                <w:sz w:val="18"/>
              </w:rPr>
              <w:t>63%</w:t>
            </w:r>
          </w:p>
        </w:tc>
        <w:tc>
          <w:tcPr>
            <w:tcW w:type="dxa" w:w="960"/>
            <w:shd w:val="clear" w:color="auto" w:fill="D4F0D4"/>
          </w:tcPr>
          <w:p>
            <w:pPr>
              <w:jc w:val="center"/>
            </w:pPr>
            <w:r>
              <w:rPr>
                <w:rFonts w:ascii="Calibri" w:hAnsi="Calibri"/>
                <w:sz w:val="18"/>
              </w:rPr>
              <w:t>82%</w:t>
            </w:r>
          </w:p>
        </w:tc>
        <w:tc>
          <w:tcPr>
            <w:tcW w:type="dxa" w:w="960"/>
            <w:shd w:val="clear" w:color="auto" w:fill="D4F0D4"/>
          </w:tcPr>
          <w:p>
            <w:pPr>
              <w:jc w:val="center"/>
            </w:pPr>
            <w:r>
              <w:rPr>
                <w:rFonts w:ascii="Calibri" w:hAnsi="Calibri"/>
                <w:b/>
                <w:sz w:val="18"/>
              </w:rPr>
              <w:t>78%</w:t>
            </w:r>
          </w:p>
        </w:tc>
        <w:tc>
          <w:tcPr>
            <w:tcW w:type="dxa" w:w="960"/>
            <w:shd w:val="clear" w:color="auto" w:fill="D4F0D4"/>
          </w:tcPr>
          <w:p>
            <w:pPr>
              <w:jc w:val="center"/>
            </w:pPr>
            <w:r>
              <w:rPr>
                <w:rFonts w:ascii="Calibri" w:hAnsi="Calibri"/>
                <w:sz w:val="18"/>
              </w:rPr>
              <w:t>N/A</w:t>
            </w:r>
          </w:p>
        </w:tc>
        <w:tc>
          <w:tcPr>
            <w:tcW w:type="dxa" w:w="960"/>
            <w:shd w:val="clear" w:color="auto" w:fill="D4F0D4"/>
          </w:tcPr>
          <w:p>
            <w:pPr>
              <w:jc w:val="center"/>
            </w:pPr>
            <w:r>
              <w:rPr>
                <w:rFonts w:ascii="Calibri" w:hAnsi="Calibri"/>
                <w:sz w:val="18"/>
              </w:rPr>
              <w:t>N/A</w:t>
            </w:r>
          </w:p>
        </w:tc>
        <w:tc>
          <w:tcPr>
            <w:tcW w:type="dxa" w:w="960"/>
            <w:shd w:val="clear" w:color="auto" w:fill="D4F0D4"/>
          </w:tcPr>
          <w:p>
            <w:pPr>
              <w:jc w:val="center"/>
            </w:pPr>
            <w:r>
              <w:rPr>
                <w:rFonts w:ascii="Calibri" w:hAnsi="Calibri"/>
                <w:sz w:val="18"/>
              </w:rPr>
              <w:t>N/A</w:t>
            </w:r>
          </w:p>
        </w:tc>
        <w:tc>
          <w:tcPr>
            <w:tcW w:type="dxa" w:w="960"/>
            <w:shd w:val="clear" w:color="auto" w:fill="D4F0D4"/>
          </w:tcPr>
          <w:p>
            <w:pPr>
              <w:jc w:val="center"/>
            </w:pPr>
            <w:r>
              <w:rPr>
                <w:rFonts w:ascii="Calibri" w:hAnsi="Calibri"/>
                <w:sz w:val="18"/>
              </w:rPr>
              <w:t>45%</w:t>
            </w:r>
          </w:p>
        </w:tc>
      </w:tr>
      <w:tr>
        <w:tc>
          <w:tcPr>
            <w:tcW w:type="dxa" w:w="960"/>
            <w:shd w:val="clear" w:color="auto" w:fill="D4F0D4"/>
          </w:tcPr>
          <w:p>
            <w:pPr>
              <w:jc w:val="left"/>
            </w:pPr>
            <w:r>
              <w:rPr>
                <w:rFonts w:ascii="Calibri" w:hAnsi="Calibri"/>
                <w:b/>
                <w:sz w:val="18"/>
              </w:rPr>
              <w:t>Profit %</w:t>
            </w:r>
          </w:p>
        </w:tc>
        <w:tc>
          <w:tcPr>
            <w:tcW w:type="dxa" w:w="960"/>
            <w:shd w:val="clear" w:color="auto" w:fill="D4F0D4"/>
          </w:tcPr>
          <w:p>
            <w:pPr>
              <w:jc w:val="center"/>
            </w:pPr>
            <w:r>
              <w:rPr>
                <w:rFonts w:ascii="Calibri" w:hAnsi="Calibri"/>
                <w:sz w:val="18"/>
              </w:rPr>
              <w:t>490%</w:t>
            </w:r>
          </w:p>
        </w:tc>
        <w:tc>
          <w:tcPr>
            <w:tcW w:type="dxa" w:w="960"/>
            <w:shd w:val="clear" w:color="auto" w:fill="D4F0D4"/>
          </w:tcPr>
          <w:p>
            <w:pPr>
              <w:jc w:val="center"/>
            </w:pPr>
            <w:r>
              <w:rPr>
                <w:rFonts w:ascii="Calibri" w:hAnsi="Calibri"/>
                <w:sz w:val="18"/>
              </w:rPr>
              <w:t>27%</w:t>
            </w:r>
          </w:p>
        </w:tc>
        <w:tc>
          <w:tcPr>
            <w:tcW w:type="dxa" w:w="960"/>
            <w:shd w:val="clear" w:color="auto" w:fill="D4F0D4"/>
          </w:tcPr>
          <w:p>
            <w:pPr>
              <w:jc w:val="center"/>
            </w:pPr>
            <w:r>
              <w:rPr>
                <w:rFonts w:ascii="Calibri" w:hAnsi="Calibri"/>
                <w:color w:val="FF0000"/>
                <w:sz w:val="18"/>
              </w:rPr>
              <w:t>-34%</w:t>
            </w:r>
          </w:p>
        </w:tc>
        <w:tc>
          <w:tcPr>
            <w:tcW w:type="dxa" w:w="960"/>
            <w:shd w:val="clear" w:color="auto" w:fill="D4F0D4"/>
          </w:tcPr>
          <w:p>
            <w:pPr>
              <w:jc w:val="center"/>
            </w:pPr>
            <w:r>
              <w:rPr>
                <w:rFonts w:ascii="Calibri" w:hAnsi="Calibri"/>
                <w:b/>
                <w:color w:val="FF0000"/>
                <w:sz w:val="18"/>
              </w:rPr>
              <w:t>-100%</w:t>
            </w:r>
          </w:p>
        </w:tc>
        <w:tc>
          <w:tcPr>
            <w:tcW w:type="dxa" w:w="960"/>
            <w:shd w:val="clear" w:color="auto" w:fill="D4F0D4"/>
          </w:tcPr>
          <w:p>
            <w:pPr>
              <w:jc w:val="center"/>
            </w:pPr>
            <w:r>
              <w:rPr>
                <w:rFonts w:ascii="Calibri" w:hAnsi="Calibri"/>
                <w:sz w:val="18"/>
              </w:rPr>
              <w:t>N/A</w:t>
            </w:r>
          </w:p>
        </w:tc>
        <w:tc>
          <w:tcPr>
            <w:tcW w:type="dxa" w:w="960"/>
            <w:shd w:val="clear" w:color="auto" w:fill="D4F0D4"/>
          </w:tcPr>
          <w:p>
            <w:pPr>
              <w:jc w:val="center"/>
            </w:pPr>
            <w:r>
              <w:rPr>
                <w:rFonts w:ascii="Calibri" w:hAnsi="Calibri"/>
                <w:sz w:val="18"/>
              </w:rPr>
              <w:t>N/A</w:t>
            </w:r>
          </w:p>
        </w:tc>
        <w:tc>
          <w:tcPr>
            <w:tcW w:type="dxa" w:w="960"/>
            <w:shd w:val="clear" w:color="auto" w:fill="D4F0D4"/>
          </w:tcPr>
          <w:p>
            <w:pPr>
              <w:jc w:val="center"/>
            </w:pPr>
            <w:r>
              <w:rPr>
                <w:rFonts w:ascii="Calibri" w:hAnsi="Calibri"/>
                <w:sz w:val="18"/>
              </w:rPr>
              <w:t>N/A</w:t>
            </w:r>
          </w:p>
        </w:tc>
        <w:tc>
          <w:tcPr>
            <w:tcW w:type="dxa" w:w="960"/>
            <w:shd w:val="clear" w:color="auto" w:fill="D4F0D4"/>
          </w:tcPr>
          <w:p>
            <w:pPr>
              <w:jc w:val="center"/>
            </w:pPr>
            <w:r>
              <w:rPr>
                <w:rFonts w:ascii="Calibri" w:hAnsi="Calibri"/>
                <w:color w:val="FF0000"/>
                <w:sz w:val="18"/>
              </w:rPr>
              <w:t>-20%</w:t>
            </w:r>
          </w:p>
        </w:tc>
      </w:tr>
      <w:tr>
        <w:tc>
          <w:tcPr>
            <w:tcW w:type="dxa" w:w="960"/>
          </w:tcPr>
          <w:p>
            <w:pPr>
              <w:jc w:val="left"/>
            </w:pPr>
            <w:r>
              <w:rPr>
                <w:rFonts w:ascii="Calibri" w:hAnsi="Calibri"/>
                <w:b/>
                <w:sz w:val="18"/>
              </w:rPr>
              <w:t>Planned Labor Days</w:t>
            </w:r>
          </w:p>
        </w:tc>
        <w:tc>
          <w:tcPr>
            <w:tcW w:type="dxa" w:w="960"/>
          </w:tcPr>
          <w:p>
            <w:pPr>
              <w:jc w:val="center"/>
            </w:pPr>
            <w:r>
              <w:rPr>
                <w:rFonts w:ascii="Calibri" w:hAnsi="Calibri"/>
                <w:sz w:val="18"/>
              </w:rPr>
              <w:t>138</w:t>
            </w:r>
          </w:p>
        </w:tc>
        <w:tc>
          <w:tcPr>
            <w:tcW w:type="dxa" w:w="960"/>
          </w:tcPr>
          <w:p>
            <w:pPr>
              <w:jc w:val="center"/>
            </w:pPr>
            <w:r>
              <w:rPr>
                <w:rFonts w:ascii="Calibri" w:hAnsi="Calibri"/>
                <w:sz w:val="18"/>
              </w:rPr>
              <w:t>20</w:t>
            </w:r>
          </w:p>
        </w:tc>
        <w:tc>
          <w:tcPr>
            <w:tcW w:type="dxa" w:w="960"/>
          </w:tcPr>
          <w:p>
            <w:pPr>
              <w:jc w:val="center"/>
            </w:pPr>
            <w:r>
              <w:rPr>
                <w:rFonts w:ascii="Calibri" w:hAnsi="Calibri"/>
                <w:sz w:val="18"/>
              </w:rPr>
              <w:t>91</w:t>
            </w:r>
          </w:p>
        </w:tc>
        <w:tc>
          <w:tcPr>
            <w:tcW w:type="dxa" w:w="960"/>
          </w:tcPr>
          <w:p>
            <w:pPr>
              <w:jc w:val="center"/>
            </w:pPr>
            <w:r>
              <w:rPr>
                <w:rFonts w:ascii="Calibri" w:hAnsi="Calibri"/>
                <w:b/>
                <w:sz w:val="18"/>
              </w:rPr>
              <w:t>195</w:t>
            </w:r>
          </w:p>
        </w:tc>
        <w:tc>
          <w:tcPr>
            <w:tcW w:type="dxa" w:w="960"/>
          </w:tcPr>
          <w:p>
            <w:pPr>
              <w:jc w:val="center"/>
            </w:pPr>
            <w:r>
              <w:rPr>
                <w:rFonts w:ascii="Calibri" w:hAnsi="Calibri"/>
                <w:sz w:val="18"/>
              </w:rPr>
              <w:t>537</w:t>
            </w:r>
          </w:p>
        </w:tc>
        <w:tc>
          <w:tcPr>
            <w:tcW w:type="dxa" w:w="960"/>
          </w:tcPr>
          <w:p>
            <w:pPr>
              <w:jc w:val="center"/>
            </w:pPr>
            <w:r>
              <w:rPr>
                <w:rFonts w:ascii="Calibri" w:hAnsi="Calibri"/>
                <w:sz w:val="18"/>
              </w:rPr>
              <w:t>114</w:t>
            </w:r>
          </w:p>
        </w:tc>
        <w:tc>
          <w:tcPr>
            <w:tcW w:type="dxa" w:w="960"/>
          </w:tcPr>
          <w:p>
            <w:pPr>
              <w:jc w:val="center"/>
            </w:pPr>
            <w:r>
              <w:rPr>
                <w:rFonts w:ascii="Calibri" w:hAnsi="Calibri"/>
                <w:sz w:val="18"/>
              </w:rPr>
              <w:t>66</w:t>
            </w:r>
          </w:p>
        </w:tc>
        <w:tc>
          <w:tcPr>
            <w:tcW w:type="dxa" w:w="960"/>
          </w:tcPr>
          <w:p>
            <w:pPr>
              <w:jc w:val="center"/>
            </w:pPr>
            <w:r>
              <w:rPr>
                <w:rFonts w:ascii="Calibri" w:hAnsi="Calibri"/>
                <w:sz w:val="18"/>
              </w:rPr>
              <w:t>1161</w:t>
            </w:r>
          </w:p>
        </w:tc>
      </w:tr>
      <w:tr>
        <w:tc>
          <w:tcPr>
            <w:tcW w:type="dxa" w:w="960"/>
          </w:tcPr>
          <w:p>
            <w:pPr>
              <w:jc w:val="left"/>
            </w:pPr>
            <w:r>
              <w:rPr>
                <w:rFonts w:ascii="Calibri" w:hAnsi="Calibri"/>
                <w:b/>
                <w:sz w:val="18"/>
              </w:rPr>
              <w:t>Actual Labor Days</w:t>
            </w:r>
          </w:p>
        </w:tc>
        <w:tc>
          <w:tcPr>
            <w:tcW w:type="dxa" w:w="960"/>
          </w:tcPr>
          <w:p>
            <w:pPr>
              <w:jc w:val="center"/>
            </w:pPr>
            <w:r>
              <w:rPr>
                <w:rFonts w:ascii="Calibri" w:hAnsi="Calibri"/>
                <w:sz w:val="18"/>
              </w:rPr>
              <w:t>31</w:t>
            </w:r>
          </w:p>
        </w:tc>
        <w:tc>
          <w:tcPr>
            <w:tcW w:type="dxa" w:w="960"/>
          </w:tcPr>
          <w:p>
            <w:pPr>
              <w:jc w:val="center"/>
            </w:pPr>
            <w:r>
              <w:rPr>
                <w:rFonts w:ascii="Calibri" w:hAnsi="Calibri"/>
                <w:sz w:val="18"/>
              </w:rPr>
              <w:t>14</w:t>
            </w:r>
          </w:p>
        </w:tc>
        <w:tc>
          <w:tcPr>
            <w:tcW w:type="dxa" w:w="960"/>
          </w:tcPr>
          <w:p>
            <w:pPr>
              <w:jc w:val="center"/>
            </w:pPr>
            <w:r>
              <w:rPr>
                <w:rFonts w:ascii="Calibri" w:hAnsi="Calibri"/>
                <w:sz w:val="18"/>
              </w:rPr>
              <w:t>132</w:t>
            </w:r>
          </w:p>
        </w:tc>
        <w:tc>
          <w:tcPr>
            <w:tcW w:type="dxa" w:w="960"/>
          </w:tcPr>
          <w:p>
            <w:pPr>
              <w:jc w:val="center"/>
            </w:pPr>
            <w:r>
              <w:rPr>
                <w:rFonts w:ascii="Calibri" w:hAnsi="Calibri"/>
                <w:b/>
                <w:sz w:val="18"/>
              </w:rPr>
              <w:t>163</w:t>
            </w:r>
          </w:p>
        </w:tc>
        <w:tc>
          <w:tcPr>
            <w:tcW w:type="dxa" w:w="960"/>
          </w:tcPr>
          <w:p>
            <w:pPr>
              <w:jc w:val="center"/>
            </w:pPr>
            <w:r>
              <w:rPr>
                <w:rFonts w:ascii="Calibri" w:hAnsi="Calibri"/>
                <w:sz w:val="18"/>
              </w:rPr>
              <w:t>0</w:t>
            </w:r>
          </w:p>
        </w:tc>
        <w:tc>
          <w:tcPr>
            <w:tcW w:type="dxa" w:w="960"/>
          </w:tcPr>
          <w:p>
            <w:pPr>
              <w:jc w:val="center"/>
            </w:pPr>
            <w:r>
              <w:rPr>
                <w:rFonts w:ascii="Calibri" w:hAnsi="Calibri"/>
                <w:sz w:val="18"/>
              </w:rPr>
              <w:t>0</w:t>
            </w:r>
          </w:p>
        </w:tc>
        <w:tc>
          <w:tcPr>
            <w:tcW w:type="dxa" w:w="960"/>
          </w:tcPr>
          <w:p>
            <w:pPr>
              <w:jc w:val="center"/>
            </w:pPr>
            <w:r>
              <w:rPr>
                <w:rFonts w:ascii="Calibri" w:hAnsi="Calibri"/>
                <w:sz w:val="18"/>
              </w:rPr>
              <w:t>0</w:t>
            </w:r>
          </w:p>
        </w:tc>
        <w:tc>
          <w:tcPr>
            <w:tcW w:type="dxa" w:w="960"/>
          </w:tcPr>
          <w:p>
            <w:pPr>
              <w:jc w:val="center"/>
            </w:pPr>
            <w:r>
              <w:rPr>
                <w:rFonts w:ascii="Calibri" w:hAnsi="Calibri"/>
                <w:sz w:val="18"/>
              </w:rPr>
              <w:t>340</w:t>
            </w:r>
          </w:p>
        </w:tc>
      </w:tr>
      <w:tr>
        <w:tc>
          <w:tcPr>
            <w:tcW w:type="dxa" w:w="960"/>
            <w:shd w:val="clear" w:color="auto" w:fill="D4F0D4"/>
          </w:tcPr>
          <w:p>
            <w:pPr>
              <w:jc w:val="left"/>
            </w:pPr>
            <w:r>
              <w:rPr>
                <w:rFonts w:ascii="Calibri" w:hAnsi="Calibri"/>
                <w:b/>
                <w:sz w:val="18"/>
              </w:rPr>
              <w:t>Applied Labor %</w:t>
            </w:r>
          </w:p>
        </w:tc>
        <w:tc>
          <w:tcPr>
            <w:tcW w:type="dxa" w:w="960"/>
            <w:shd w:val="clear" w:color="auto" w:fill="D4F0D4"/>
          </w:tcPr>
          <w:p>
            <w:pPr>
              <w:jc w:val="center"/>
            </w:pPr>
            <w:r>
              <w:rPr>
                <w:rFonts w:ascii="Calibri" w:hAnsi="Calibri"/>
                <w:sz w:val="18"/>
              </w:rPr>
              <w:t>23%</w:t>
            </w:r>
          </w:p>
        </w:tc>
        <w:tc>
          <w:tcPr>
            <w:tcW w:type="dxa" w:w="960"/>
            <w:shd w:val="clear" w:color="auto" w:fill="D4F0D4"/>
          </w:tcPr>
          <w:p>
            <w:pPr>
              <w:jc w:val="center"/>
            </w:pPr>
            <w:r>
              <w:rPr>
                <w:rFonts w:ascii="Calibri" w:hAnsi="Calibri"/>
                <w:sz w:val="18"/>
              </w:rPr>
              <w:t>70%</w:t>
            </w:r>
          </w:p>
        </w:tc>
        <w:tc>
          <w:tcPr>
            <w:tcW w:type="dxa" w:w="960"/>
            <w:shd w:val="clear" w:color="auto" w:fill="D4F0D4"/>
          </w:tcPr>
          <w:p>
            <w:pPr>
              <w:jc w:val="center"/>
            </w:pPr>
            <w:r>
              <w:rPr>
                <w:rFonts w:ascii="Calibri" w:hAnsi="Calibri"/>
                <w:color w:val="FF0000"/>
                <w:sz w:val="18"/>
              </w:rPr>
              <w:t>145%</w:t>
            </w:r>
          </w:p>
        </w:tc>
        <w:tc>
          <w:tcPr>
            <w:tcW w:type="dxa" w:w="960"/>
            <w:shd w:val="clear" w:color="auto" w:fill="D4F0D4"/>
          </w:tcPr>
          <w:p>
            <w:pPr>
              <w:jc w:val="center"/>
            </w:pPr>
            <w:r>
              <w:rPr>
                <w:rFonts w:ascii="Calibri" w:hAnsi="Calibri"/>
                <w:b/>
                <w:sz w:val="18"/>
              </w:rPr>
              <w:t>84%</w:t>
            </w:r>
          </w:p>
        </w:tc>
        <w:tc>
          <w:tcPr>
            <w:tcW w:type="dxa" w:w="960"/>
            <w:shd w:val="clear" w:color="auto" w:fill="D4F0D4"/>
          </w:tcPr>
          <w:p>
            <w:pPr>
              <w:jc w:val="center"/>
            </w:pPr>
            <w:r>
              <w:rPr>
                <w:rFonts w:ascii="Calibri" w:hAnsi="Calibri"/>
                <w:sz w:val="18"/>
              </w:rPr>
              <w:t>N/A</w:t>
            </w:r>
          </w:p>
        </w:tc>
        <w:tc>
          <w:tcPr>
            <w:tcW w:type="dxa" w:w="960"/>
            <w:shd w:val="clear" w:color="auto" w:fill="D4F0D4"/>
          </w:tcPr>
          <w:p>
            <w:pPr>
              <w:jc w:val="center"/>
            </w:pPr>
            <w:r>
              <w:rPr>
                <w:rFonts w:ascii="Calibri" w:hAnsi="Calibri"/>
                <w:sz w:val="18"/>
              </w:rPr>
              <w:t>N/A</w:t>
            </w:r>
          </w:p>
        </w:tc>
        <w:tc>
          <w:tcPr>
            <w:tcW w:type="dxa" w:w="960"/>
            <w:shd w:val="clear" w:color="auto" w:fill="D4F0D4"/>
          </w:tcPr>
          <w:p>
            <w:pPr>
              <w:jc w:val="center"/>
            </w:pPr>
            <w:r>
              <w:rPr>
                <w:rFonts w:ascii="Calibri" w:hAnsi="Calibri"/>
                <w:sz w:val="18"/>
              </w:rPr>
              <w:t>N/A</w:t>
            </w:r>
          </w:p>
        </w:tc>
        <w:tc>
          <w:tcPr>
            <w:tcW w:type="dxa" w:w="960"/>
            <w:shd w:val="clear" w:color="auto" w:fill="D4F0D4"/>
          </w:tcPr>
          <w:p>
            <w:pPr>
              <w:jc w:val="center"/>
            </w:pPr>
            <w:r>
              <w:rPr>
                <w:rFonts w:ascii="Calibri" w:hAnsi="Calibri"/>
                <w:sz w:val="18"/>
              </w:rPr>
              <w:t>29%</w:t>
            </w:r>
          </w:p>
        </w:tc>
      </w:tr>
    </w:tbl>
    <w:p/>
    <w:p>
      <w:r>
        <w:t>This section provides a comprehensive overview of the Ohio Hospital Project's current status, including financial performance, schedule progress, and resource utilization. The summary table above presents key metrics for each project phase, allowing for quick assessment of project health and identification of areas requiring attention.</w:t>
      </w:r>
    </w:p>
    <w:p>
      <w:r>
        <w:rPr>
          <w:b/>
        </w:rPr>
        <w:t>Completed Tasks Analysis:</w:t>
      </w:r>
    </w:p>
    <w:p>
      <w:pPr>
        <w:ind w:left="360"/>
      </w:pPr>
      <w:r>
        <w:t xml:space="preserve">• </w:t>
      </w:r>
      <w:r>
        <w:rPr>
          <w:b/>
        </w:rPr>
        <w:t xml:space="preserve">Design and Plans For Thermal Remediation: </w:t>
      </w:r>
      <w:r>
        <w:t>Completed on schedule (92% of planned duration). Full income received (100%). Cost within budget (23% of planned). Profitable (490% margin). Labor efficient (23% of planned).</w:t>
      </w:r>
    </w:p>
    <w:p>
      <w:pPr>
        <w:ind w:left="360"/>
      </w:pPr>
      <w:r>
        <w:t xml:space="preserve">• </w:t>
      </w:r>
      <w:r>
        <w:rPr>
          <w:b/>
        </w:rPr>
        <w:t xml:space="preserve">Site Preparation &amp; Mobilization Prep: </w:t>
      </w:r>
      <w:r>
        <w:t xml:space="preserve">Completed </w:t>
      </w:r>
      <w:r>
        <w:rPr>
          <w:color w:val="FF0000"/>
        </w:rPr>
        <w:t>behind schedule</w:t>
      </w:r>
      <w:r>
        <w:t xml:space="preserve"> (120% of planned duration). Partial income received (83%). Cost within budget (63% of planned). Profitable (27% margin). Labor efficient (70% of planned).</w:t>
      </w:r>
    </w:p>
    <w:p>
      <w:pPr>
        <w:ind w:left="360"/>
      </w:pPr>
      <w:r>
        <w:t xml:space="preserve">• </w:t>
      </w:r>
      <w:r>
        <w:rPr>
          <w:b/>
        </w:rPr>
        <w:t xml:space="preserve">Drilling and Well Installation: </w:t>
      </w:r>
      <w:r>
        <w:t xml:space="preserve">Completed on schedule (89% of planned duration). Partial income received (46%). Cost within budget (82% of planned). Loss (-34% margin). Note: This negative margin may be due to the lagging of receiving invoices, which are usually sent at the end of task or end of month. Labor </w:t>
      </w:r>
      <w:r>
        <w:rPr>
          <w:color w:val="FF0000"/>
        </w:rPr>
        <w:t>over budget</w:t>
      </w:r>
      <w:r>
        <w:t xml:space="preserve"> (145% of planned).</w:t>
      </w:r>
    </w:p>
    <w:p>
      <w:r>
        <w:rPr>
          <w:b/>
        </w:rPr>
        <w:t>In Progress Task:</w:t>
      </w:r>
    </w:p>
    <w:p>
      <w:pPr>
        <w:ind w:left="360"/>
      </w:pPr>
      <w:r>
        <w:t xml:space="preserve">• </w:t>
      </w:r>
      <w:r>
        <w:rPr>
          <w:b/>
        </w:rPr>
        <w:t xml:space="preserve">Construction and Installation: </w:t>
      </w:r>
      <w:r>
        <w:t xml:space="preserve">Currently active with ongoing operations. Currently burning 78% of the budget and 84% of the planned labor while the duration is at 130% expected. </w:t>
      </w:r>
      <w:r>
        <w:rPr>
          <w:color w:val="FF0000"/>
        </w:rPr>
        <w:t>A delay is expected</w:t>
      </w:r>
      <w:r>
        <w:t>.</w:t>
      </w:r>
    </w:p>
    <w:p>
      <w:r>
        <w:rPr>
          <w:b/>
        </w:rPr>
        <w:t>Future Tasks (3 remaining):</w:t>
      </w:r>
    </w:p>
    <w:p>
      <w:pPr>
        <w:ind w:left="360"/>
      </w:pPr>
      <w:r>
        <w:t xml:space="preserve">• </w:t>
      </w:r>
      <w:r>
        <w:rPr>
          <w:b/>
        </w:rPr>
        <w:t xml:space="preserve">Operation and Maintenance: </w:t>
      </w:r>
      <w:r>
        <w:t>Actual: 11/03/25 - 05/21/26 | Baseline: 10/14/2025 - 05/01/2026</w:t>
      </w:r>
    </w:p>
    <w:p>
      <w:pPr>
        <w:ind w:left="360"/>
      </w:pPr>
      <w:r>
        <w:t xml:space="preserve">• </w:t>
      </w:r>
      <w:r>
        <w:rPr>
          <w:b/>
        </w:rPr>
        <w:t xml:space="preserve">Demobilization: </w:t>
      </w:r>
      <w:r>
        <w:t>Actual: 05/22/26 - 06/12/26 | Baseline: 05/04/2026 - 05/25/2026</w:t>
      </w:r>
    </w:p>
    <w:p>
      <w:pPr>
        <w:ind w:left="360"/>
      </w:pPr>
      <w:r>
        <w:t xml:space="preserve">• </w:t>
      </w:r>
      <w:r>
        <w:rPr>
          <w:b/>
        </w:rPr>
        <w:t xml:space="preserve">Reporting: </w:t>
      </w:r>
      <w:r>
        <w:t>Actual: 05/22/26 - 07/16/26 | Baseline: 05/04/2026 - 06/26/2026</w:t>
      </w:r>
    </w:p>
    <w:p>
      <w:r>
        <w:rPr>
          <w:b/>
        </w:rPr>
        <w:t>Important Notes:</w:t>
      </w:r>
    </w:p>
    <w:p>
      <w:r>
        <w:t>• QuickBook account entries may have reporting lag, affecting current and recently completed task financial percentages.</w:t>
        <w:br/>
        <w:t>• Invoices are typically sent to clients at project completion, which may cause temporary discrepancies in income tracking.</w:t>
        <w:br/>
        <w:t>• Existing equipment costs are not reflected in QuickBook data and will be added once inventory reports are received.</w:t>
      </w:r>
    </w:p>
    <w:p>
      <w:r>
        <w:rPr>
          <w:b/>
        </w:rPr>
        <w:t>Percentage Formulas:</w:t>
      </w:r>
    </w:p>
    <w:p>
      <w:r>
        <w:t>• Duration % = (Actual Duration / Planned Duration) × 100</w:t>
        <w:br/>
        <w:t xml:space="preserve">• Income % = (Income Received / Invoice Amount) × 100  </w:t>
        <w:br/>
        <w:t>• Spent Cost % = (Actual Spend / Planned Spend) × 100</w:t>
        <w:br/>
        <w:t>• Profit % = ((Income Received / Actual Spend) - 1) × 100</w:t>
        <w:br/>
        <w:t>• Applied Labor % = (Actual Labor Days / Planned Labor Days) × 100</w:t>
      </w:r>
    </w:p>
    <w:p>
      <w:pPr>
        <w:pStyle w:val="Heading1"/>
      </w:pPr>
      <w:r>
        <w:t>2. Invoice Tracking</w:t>
      </w:r>
    </w:p>
    <w:p>
      <w:r>
        <w:t>This section focuses on the project's invoicing and income receipt performance. Invoice tracking is critical for cash flow management and project profitability assessment.</w:t>
        <w:br/>
        <w:br/>
        <w:t>Key aspects covered:</w:t>
        <w:br/>
        <w:t>• Planned vs actual invoice amounts by project phase</w:t>
        <w:br/>
        <w:t>• Income receipt tracking and collection efficiency</w:t>
        <w:br/>
        <w:t>• Invoice-to-income conversion rates</w:t>
        <w:br/>
        <w:t>• Cash flow analysis and payment timing</w:t>
        <w:br/>
        <w:br/>
        <w:t>The invoice tracking data helps identify potential billing delays, collection issues, or scope changes that may impact project cash flow and profitability.</w:t>
      </w:r>
    </w:p>
    <w:p>
      <w:pPr>
        <w:jc w:val="center"/>
      </w:pPr>
      <w:r>
        <w:drawing>
          <wp:inline xmlns:a="http://schemas.openxmlformats.org/drawingml/2006/main" xmlns:pic="http://schemas.openxmlformats.org/drawingml/2006/picture">
            <wp:extent cx="5943600" cy="3961289"/>
            <wp:docPr id="1" name="Picture 1"/>
            <wp:cNvGraphicFramePr>
              <a:graphicFrameLocks noChangeAspect="1"/>
            </wp:cNvGraphicFramePr>
            <a:graphic>
              <a:graphicData uri="http://schemas.openxmlformats.org/drawingml/2006/picture">
                <pic:pic>
                  <pic:nvPicPr>
                    <pic:cNvPr id="0" name="figure_1_cost_tracking.jpg"/>
                    <pic:cNvPicPr/>
                  </pic:nvPicPr>
                  <pic:blipFill>
                    <a:blip r:embed="rId9"/>
                    <a:stretch>
                      <a:fillRect/>
                    </a:stretch>
                  </pic:blipFill>
                  <pic:spPr>
                    <a:xfrm>
                      <a:off x="0" y="0"/>
                      <a:ext cx="5943600" cy="3961289"/>
                    </a:xfrm>
                    <a:prstGeom prst="rect"/>
                  </pic:spPr>
                </pic:pic>
              </a:graphicData>
            </a:graphic>
          </wp:inline>
        </w:drawing>
      </w:r>
    </w:p>
    <w:p>
      <w:pPr>
        <w:jc w:val="center"/>
      </w:pPr>
      <w:r>
        <w:t>Figure 1: Total Cost Tracking Overview showing invoice and income trends</w:t>
      </w:r>
    </w:p>
    <w:p>
      <w:r>
        <w:br w:type="page"/>
      </w:r>
    </w:p>
    <w:p>
      <w:pPr>
        <w:pStyle w:val="Heading1"/>
      </w:pPr>
      <w:r>
        <w:t>3. Cost Analysis</w:t>
      </w:r>
    </w:p>
    <w:p>
      <w:r>
        <w:t>This section provides detailed cost analysis across five key categories: Labor, Parts, Travel, Outsource, and Equipment. Each subsection includes planned vs actual cost tracking with task-based shading to identify cost patterns by project phase.</w:t>
        <w:br/>
        <w:br/>
        <w:t>The cost analysis helps identify:</w:t>
        <w:br/>
        <w:t>• Budget performance by category</w:t>
        <w:br/>
        <w:t>• Cost overruns or savings opportunities</w:t>
        <w:br/>
        <w:t>• Resource allocation efficiency</w:t>
        <w:br/>
        <w:t>• Category-specific trends and patterns</w:t>
      </w:r>
    </w:p>
    <w:p>
      <w:pPr>
        <w:pStyle w:val="Heading2"/>
      </w:pPr>
      <w:r>
        <w:t>3.1 Labor Costs</w:t>
      </w:r>
    </w:p>
    <w:p>
      <w:r>
        <w:t>Labor costs represent the largest component of project expenses and include both on-site and remote personnel costs. This analysis tracks planned vs actual labor expenditures across all project phases.</w:t>
        <w:br/>
        <w:br/>
        <w:t>QuickBook Accounts Used: No specific labor accounts (5101/5102) found in current data. Labor costs are calculated separately from labor hours data.</w:t>
        <w:br/>
        <w:br/>
        <w:t>Key metrics:</w:t>
        <w:br/>
        <w:t>• Total labor cost performance</w:t>
        <w:br/>
        <w:t>• On-site vs remote labor cost distribution</w:t>
        <w:br/>
        <w:t>• Labor cost trends by project phase</w:t>
        <w:br/>
        <w:t>• Efficiency indicators and cost per labor day</w:t>
      </w:r>
    </w:p>
    <w:p>
      <w:pPr>
        <w:jc w:val="center"/>
      </w:pPr>
      <w:r>
        <w:drawing>
          <wp:inline xmlns:a="http://schemas.openxmlformats.org/drawingml/2006/main" xmlns:pic="http://schemas.openxmlformats.org/drawingml/2006/picture">
            <wp:extent cx="5943600" cy="3551663"/>
            <wp:docPr id="2" name="Picture 2"/>
            <wp:cNvGraphicFramePr>
              <a:graphicFrameLocks noChangeAspect="1"/>
            </wp:cNvGraphicFramePr>
            <a:graphic>
              <a:graphicData uri="http://schemas.openxmlformats.org/drawingml/2006/picture">
                <pic:pic>
                  <pic:nvPicPr>
                    <pic:cNvPr id="0" name="figure_2_labor_tracking.jpg"/>
                    <pic:cNvPicPr/>
                  </pic:nvPicPr>
                  <pic:blipFill>
                    <a:blip r:embed="rId10"/>
                    <a:stretch>
                      <a:fillRect/>
                    </a:stretch>
                  </pic:blipFill>
                  <pic:spPr>
                    <a:xfrm>
                      <a:off x="0" y="0"/>
                      <a:ext cx="5943600" cy="3551663"/>
                    </a:xfrm>
                    <a:prstGeom prst="rect"/>
                  </pic:spPr>
                </pic:pic>
              </a:graphicData>
            </a:graphic>
          </wp:inline>
        </w:drawing>
      </w:r>
    </w:p>
    <w:p>
      <w:pPr>
        <w:jc w:val="center"/>
      </w:pPr>
      <w:r>
        <w:t>Figure 2: Labor Cost Tracking</w:t>
      </w:r>
    </w:p>
    <w:p>
      <w:pPr>
        <w:pStyle w:val="Heading2"/>
      </w:pPr>
      <w:r>
        <w:t>3.2 Parts and Materials Costs</w:t>
      </w:r>
    </w:p>
    <w:p>
      <w:r>
        <w:t>Parts and materials costs include all direct materials required for project execution, from basic supplies to specialized equipment components.</w:t>
        <w:br/>
        <w:br/>
        <w:t>QuickBook Accounts Used: 5004 - GTR Cost of Sales - Parts, 5111 - Parts &amp; material costs (Direct), 5128 - Health &amp; Safety Equip (Direct)</w:t>
        <w:br/>
        <w:br/>
        <w:t>Analysis includes:</w:t>
        <w:br/>
        <w:t>• Material cost tracking and variance analysis</w:t>
        <w:br/>
        <w:t>• Procurement efficiency and timing</w:t>
        <w:br/>
        <w:t>• Material cost trends by project phase</w:t>
        <w:br/>
        <w:t>• Inventory management and waste reduction opportunities</w:t>
      </w:r>
    </w:p>
    <w:p>
      <w:pPr>
        <w:jc w:val="center"/>
      </w:pPr>
      <w:r>
        <w:drawing>
          <wp:inline xmlns:a="http://schemas.openxmlformats.org/drawingml/2006/main" xmlns:pic="http://schemas.openxmlformats.org/drawingml/2006/picture">
            <wp:extent cx="5943600" cy="3551663"/>
            <wp:docPr id="3" name="Picture 3"/>
            <wp:cNvGraphicFramePr>
              <a:graphicFrameLocks noChangeAspect="1"/>
            </wp:cNvGraphicFramePr>
            <a:graphic>
              <a:graphicData uri="http://schemas.openxmlformats.org/drawingml/2006/picture">
                <pic:pic>
                  <pic:nvPicPr>
                    <pic:cNvPr id="0" name="figure_3_parts_tracking.jpg"/>
                    <pic:cNvPicPr/>
                  </pic:nvPicPr>
                  <pic:blipFill>
                    <a:blip r:embed="rId11"/>
                    <a:stretch>
                      <a:fillRect/>
                    </a:stretch>
                  </pic:blipFill>
                  <pic:spPr>
                    <a:xfrm>
                      <a:off x="0" y="0"/>
                      <a:ext cx="5943600" cy="3551663"/>
                    </a:xfrm>
                    <a:prstGeom prst="rect"/>
                  </pic:spPr>
                </pic:pic>
              </a:graphicData>
            </a:graphic>
          </wp:inline>
        </w:drawing>
      </w:r>
    </w:p>
    <w:p>
      <w:pPr>
        <w:jc w:val="center"/>
      </w:pPr>
      <w:r>
        <w:t>Figure 3: Parts and Materials Cost Tracking</w:t>
      </w:r>
    </w:p>
    <w:p>
      <w:pPr>
        <w:pStyle w:val="Heading2"/>
      </w:pPr>
      <w:r>
        <w:t>3.3 Travel and Per Diem Costs</w:t>
      </w:r>
    </w:p>
    <w:p>
      <w:r>
        <w:t>Travel and per diem costs cover all transportation, accommodation, and meal expenses for project personnel, including both planned site visits and emergency travel requirements.</w:t>
        <w:br/>
        <w:br/>
        <w:t>QuickBook Accounts Used: 5105 - Travel - Airfare (Direct), 5106 - Travel - Hotel (Direct), 5107 - Travel - Other (Direct), 5107.1 - Travel - Car Rental, 5108 - Meals &amp; entertainment (Direct), 5122 - Motor vehicle exp (Direct), 5123 - Auto fuel (Direct)</w:t>
        <w:br/>
        <w:br/>
        <w:t>Key considerations:</w:t>
        <w:br/>
        <w:t>• Travel cost efficiency and optimization</w:t>
        <w:br/>
        <w:t>• Per diem rate compliance and trends</w:t>
        <w:br/>
        <w:t>• Travel cost distribution by project phase</w:t>
        <w:br/>
        <w:t>• Remote work impact on travel expenses</w:t>
      </w:r>
    </w:p>
    <w:p>
      <w:pPr>
        <w:jc w:val="center"/>
      </w:pPr>
      <w:r>
        <w:drawing>
          <wp:inline xmlns:a="http://schemas.openxmlformats.org/drawingml/2006/main" xmlns:pic="http://schemas.openxmlformats.org/drawingml/2006/picture">
            <wp:extent cx="5943600" cy="3551663"/>
            <wp:docPr id="4" name="Picture 4"/>
            <wp:cNvGraphicFramePr>
              <a:graphicFrameLocks noChangeAspect="1"/>
            </wp:cNvGraphicFramePr>
            <a:graphic>
              <a:graphicData uri="http://schemas.openxmlformats.org/drawingml/2006/picture">
                <pic:pic>
                  <pic:nvPicPr>
                    <pic:cNvPr id="0" name="figure_4_travel_tracking.jpg"/>
                    <pic:cNvPicPr/>
                  </pic:nvPicPr>
                  <pic:blipFill>
                    <a:blip r:embed="rId12"/>
                    <a:stretch>
                      <a:fillRect/>
                    </a:stretch>
                  </pic:blipFill>
                  <pic:spPr>
                    <a:xfrm>
                      <a:off x="0" y="0"/>
                      <a:ext cx="5943600" cy="3551663"/>
                    </a:xfrm>
                    <a:prstGeom prst="rect"/>
                  </pic:spPr>
                </pic:pic>
              </a:graphicData>
            </a:graphic>
          </wp:inline>
        </w:drawing>
      </w:r>
    </w:p>
    <w:p>
      <w:pPr>
        <w:jc w:val="center"/>
      </w:pPr>
      <w:r>
        <w:t>Figure 4: Travel and Per Diem Cost Tracking</w:t>
      </w:r>
    </w:p>
    <w:p>
      <w:pPr>
        <w:pStyle w:val="Heading2"/>
      </w:pPr>
      <w:r>
        <w:t>3.4 Outsource Costs</w:t>
      </w:r>
    </w:p>
    <w:p>
      <w:r>
        <w:t>Outsource costs include all third-party services, subcontractors, and external consultants required for project execution.</w:t>
        <w:br/>
        <w:br/>
        <w:t>QuickBook Accounts Used: 5006 - Drilling Expense, 5113 - Repairs &amp; maint (Direct), 5115 - Rent - Equipment (direct), 5120 - Outside services (Direct), 5121 - Freight &amp; Shipping (Direct), 5129 - Misc expenses (Direct)</w:t>
        <w:br/>
        <w:br/>
        <w:t>Analysis covers:</w:t>
        <w:br/>
        <w:t>• Subcontractor cost performance and management</w:t>
        <w:br/>
        <w:t>• Service provider efficiency and quality</w:t>
        <w:br/>
        <w:t>• Outsource cost trends and vendor performance</w:t>
        <w:br/>
        <w:t>• Risk management and cost control measures</w:t>
      </w:r>
    </w:p>
    <w:p>
      <w:pPr>
        <w:jc w:val="center"/>
      </w:pPr>
      <w:r>
        <w:drawing>
          <wp:inline xmlns:a="http://schemas.openxmlformats.org/drawingml/2006/main" xmlns:pic="http://schemas.openxmlformats.org/drawingml/2006/picture">
            <wp:extent cx="5943600" cy="3551663"/>
            <wp:docPr id="5" name="Picture 5"/>
            <wp:cNvGraphicFramePr>
              <a:graphicFrameLocks noChangeAspect="1"/>
            </wp:cNvGraphicFramePr>
            <a:graphic>
              <a:graphicData uri="http://schemas.openxmlformats.org/drawingml/2006/picture">
                <pic:pic>
                  <pic:nvPicPr>
                    <pic:cNvPr id="0" name="figure_5_outsource_tracking.jpg"/>
                    <pic:cNvPicPr/>
                  </pic:nvPicPr>
                  <pic:blipFill>
                    <a:blip r:embed="rId13"/>
                    <a:stretch>
                      <a:fillRect/>
                    </a:stretch>
                  </pic:blipFill>
                  <pic:spPr>
                    <a:xfrm>
                      <a:off x="0" y="0"/>
                      <a:ext cx="5943600" cy="3551663"/>
                    </a:xfrm>
                    <a:prstGeom prst="rect"/>
                  </pic:spPr>
                </pic:pic>
              </a:graphicData>
            </a:graphic>
          </wp:inline>
        </w:drawing>
      </w:r>
    </w:p>
    <w:p>
      <w:pPr>
        <w:jc w:val="center"/>
      </w:pPr>
      <w:r>
        <w:t>Figure 5: Outsource Cost Tracking</w:t>
      </w:r>
    </w:p>
    <w:p>
      <w:pPr>
        <w:pStyle w:val="Heading2"/>
      </w:pPr>
      <w:r>
        <w:t>3.5 Equipment Costs</w:t>
      </w:r>
    </w:p>
    <w:p>
      <w:r>
        <w:t>Equipment costs encompass all machinery, tools, and specialized equipment required for project execution, including purchase, rental, and maintenance expenses.</w:t>
        <w:br/>
        <w:br/>
        <w:t>QuickBook Accounts Used: No specific equipment accounts (18xx or 5113) found in current data.</w:t>
        <w:br/>
        <w:br/>
        <w:t>Important Note:</w:t>
        <w:br/>
        <w:t>The existing equipment costs do not reflect in the QuickBook data associated with this project, therefore they are not added here yet. Once the inventory cost for those equipment is added, the total cost for Task 200 (Site Preparation &amp; Mobilization Prep) will expect to increase as well.</w:t>
        <w:br/>
        <w:br/>
        <w:t>Key factors:</w:t>
        <w:br/>
        <w:t>• Equipment utilization efficiency and cost per hour</w:t>
        <w:br/>
        <w:t>• Purchase vs rental cost analysis</w:t>
        <w:br/>
        <w:t>• Equipment maintenance and repair costs</w:t>
        <w:br/>
        <w:t>• Equipment cost trends and lifecycle management</w:t>
      </w:r>
    </w:p>
    <w:p>
      <w:pPr>
        <w:jc w:val="center"/>
      </w:pPr>
      <w:r>
        <w:drawing>
          <wp:inline xmlns:a="http://schemas.openxmlformats.org/drawingml/2006/main" xmlns:pic="http://schemas.openxmlformats.org/drawingml/2006/picture">
            <wp:extent cx="5943600" cy="3551663"/>
            <wp:docPr id="6" name="Picture 6"/>
            <wp:cNvGraphicFramePr>
              <a:graphicFrameLocks noChangeAspect="1"/>
            </wp:cNvGraphicFramePr>
            <a:graphic>
              <a:graphicData uri="http://schemas.openxmlformats.org/drawingml/2006/picture">
                <pic:pic>
                  <pic:nvPicPr>
                    <pic:cNvPr id="0" name="figure_6_equipment_tracking.jpg"/>
                    <pic:cNvPicPr/>
                  </pic:nvPicPr>
                  <pic:blipFill>
                    <a:blip r:embed="rId14"/>
                    <a:stretch>
                      <a:fillRect/>
                    </a:stretch>
                  </pic:blipFill>
                  <pic:spPr>
                    <a:xfrm>
                      <a:off x="0" y="0"/>
                      <a:ext cx="5943600" cy="3551663"/>
                    </a:xfrm>
                    <a:prstGeom prst="rect"/>
                  </pic:spPr>
                </pic:pic>
              </a:graphicData>
            </a:graphic>
          </wp:inline>
        </w:drawing>
      </w:r>
    </w:p>
    <w:p>
      <w:pPr>
        <w:jc w:val="center"/>
      </w:pPr>
      <w:r>
        <w:t>Figure 6: Equipment Cost Tracking</w:t>
      </w:r>
    </w:p>
    <w:p>
      <w:r>
        <w:br w:type="page"/>
      </w:r>
    </w:p>
    <w:p>
      <w:pPr>
        <w:pStyle w:val="Heading1"/>
      </w:pPr>
      <w:r>
        <w:t>4. Labor Analysis</w:t>
      </w:r>
    </w:p>
    <w:p>
      <w:r>
        <w:t>This section provides detailed analysis of labor utilization across the project, comparing planned vs actual labor days for both on-site and remote personnel. The analysis helps identify labor efficiency, resource allocation patterns, and potential optimization opportunities.</w:t>
        <w:br/>
        <w:br/>
        <w:t>Key metrics analyzed:</w:t>
        <w:br/>
        <w:t>• On-site labor day utilization and efficiency</w:t>
        <w:br/>
        <w:t>• Remote labor day tracking and productivity</w:t>
        <w:br/>
        <w:t>• Labor distribution across project phases</w:t>
        <w:br/>
        <w:t>• Resource planning accuracy and variance analysis</w:t>
      </w:r>
    </w:p>
    <w:p>
      <w:pPr>
        <w:pStyle w:val="Heading2"/>
      </w:pPr>
      <w:r>
        <w:t>4.1 On-Site Labor Analysis</w:t>
      </w:r>
    </w:p>
    <w:p>
      <w:r>
        <w:t>On-site labor represents personnel physically present at the project location, including field technicians, supervisors, and specialized workers. This analysis tracks planned vs actual on-site labor days by month, providing insights into field productivity and resource utilization.</w:t>
        <w:br/>
        <w:br/>
        <w:t>Key insights:</w:t>
        <w:br/>
        <w:t>• Monthly on-site labor utilization patterns</w:t>
        <w:br/>
        <w:t>• Seasonal variations and project phase impacts</w:t>
        <w:br/>
        <w:t>• Labor efficiency indicators and productivity trends</w:t>
        <w:br/>
        <w:t>• Resource allocation optimization opportunities</w:t>
      </w:r>
    </w:p>
    <w:p>
      <w:pPr>
        <w:jc w:val="center"/>
      </w:pPr>
      <w:r>
        <w:drawing>
          <wp:inline xmlns:a="http://schemas.openxmlformats.org/drawingml/2006/main" xmlns:pic="http://schemas.openxmlformats.org/drawingml/2006/picture">
            <wp:extent cx="5943600" cy="3949059"/>
            <wp:docPr id="7" name="Picture 7"/>
            <wp:cNvGraphicFramePr>
              <a:graphicFrameLocks noChangeAspect="1"/>
            </wp:cNvGraphicFramePr>
            <a:graphic>
              <a:graphicData uri="http://schemas.openxmlformats.org/drawingml/2006/picture">
                <pic:pic>
                  <pic:nvPicPr>
                    <pic:cNvPr id="0" name="figure_7_onsite_labor_comparison.jpg"/>
                    <pic:cNvPicPr/>
                  </pic:nvPicPr>
                  <pic:blipFill>
                    <a:blip r:embed="rId15"/>
                    <a:stretch>
                      <a:fillRect/>
                    </a:stretch>
                  </pic:blipFill>
                  <pic:spPr>
                    <a:xfrm>
                      <a:off x="0" y="0"/>
                      <a:ext cx="5943600" cy="3949059"/>
                    </a:xfrm>
                    <a:prstGeom prst="rect"/>
                  </pic:spPr>
                </pic:pic>
              </a:graphicData>
            </a:graphic>
          </wp:inline>
        </w:drawing>
      </w:r>
    </w:p>
    <w:p>
      <w:pPr>
        <w:jc w:val="center"/>
      </w:pPr>
      <w:r>
        <w:t>Figure 7: On-Site Labor Days Comparison</w:t>
      </w:r>
    </w:p>
    <w:p>
      <w:pPr>
        <w:pStyle w:val="Heading2"/>
      </w:pPr>
      <w:r>
        <w:t>4.2 Remote Labor Analysis</w:t>
      </w:r>
    </w:p>
    <w:p>
      <w:r>
        <w:t>Remote labor includes personnel working off-site, including engineers, project managers, and support staff. This analysis tracks planned vs actual remote labor days, providing insights into remote work efficiency and resource planning accuracy.</w:t>
        <w:br/>
        <w:br/>
        <w:t>Analysis includes:</w:t>
        <w:br/>
        <w:t>• Remote labor utilization and productivity metrics</w:t>
        <w:br/>
        <w:t>• Work-from-home efficiency and cost benefits</w:t>
        <w:br/>
        <w:t>• Remote labor distribution across project phases</w:t>
        <w:br/>
        <w:t>• Technology and communication impact on remote productivity</w:t>
      </w:r>
    </w:p>
    <w:p>
      <w:pPr>
        <w:jc w:val="center"/>
      </w:pPr>
      <w:r>
        <w:drawing>
          <wp:inline xmlns:a="http://schemas.openxmlformats.org/drawingml/2006/main" xmlns:pic="http://schemas.openxmlformats.org/drawingml/2006/picture">
            <wp:extent cx="5943600" cy="3949059"/>
            <wp:docPr id="8" name="Picture 8"/>
            <wp:cNvGraphicFramePr>
              <a:graphicFrameLocks noChangeAspect="1"/>
            </wp:cNvGraphicFramePr>
            <a:graphic>
              <a:graphicData uri="http://schemas.openxmlformats.org/drawingml/2006/picture">
                <pic:pic>
                  <pic:nvPicPr>
                    <pic:cNvPr id="0" name="figure_8_remote_labor_comparison.jpg"/>
                    <pic:cNvPicPr/>
                  </pic:nvPicPr>
                  <pic:blipFill>
                    <a:blip r:embed="rId16"/>
                    <a:stretch>
                      <a:fillRect/>
                    </a:stretch>
                  </pic:blipFill>
                  <pic:spPr>
                    <a:xfrm>
                      <a:off x="0" y="0"/>
                      <a:ext cx="5943600" cy="3949059"/>
                    </a:xfrm>
                    <a:prstGeom prst="rect"/>
                  </pic:spPr>
                </pic:pic>
              </a:graphicData>
            </a:graphic>
          </wp:inline>
        </w:drawing>
      </w:r>
    </w:p>
    <w:p>
      <w:pPr>
        <w:jc w:val="center"/>
      </w:pPr>
      <w:r>
        <w:t>Figure 8: Remote Labor Days Comparison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Calibri" w:hAnsi="Calibri"/>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Calibri" w:hAnsi="Calibri"/>
      <w:b/>
      <w:bCs/>
      <w:color w:val="365F91" w:themeColor="accent1" w:themeShade="BF"/>
      <w:sz w:val="26"/>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Calibri" w:hAnsi="Calibri"/>
      <w:b/>
      <w:bCs/>
      <w:color w:val="4F81BD" w:themeColor="accent1"/>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Calibri" w:hAnsi="Calibri"/>
      <w:b/>
      <w:bCs/>
      <w:color w:val="4F81BD" w:themeColor="accent1"/>
      <w:sz w:val="2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